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Sponsorship Integrity Policy</w:t>
      </w:r>
    </w:p>
    <w:p>
      <w:pPr>
        <w:pStyle w:val="FirstParagraph"/>
      </w:pPr>
      <w:r>
        <w:rPr>
          <w:bCs/>
          <w:b/>
        </w:rPr>
        <w:t xml:space="preserve">INTERNATIONAL AERIAL COMBAT SPORT FEDERATION</w:t>
      </w:r>
    </w:p>
    <w:p>
      <w:pPr>
        <w:pStyle w:val="BodyText"/>
      </w:pPr>
      <w:r>
        <w:t xml:space="preserve">SPONSORSHIP INTEGRITY POLICY</w:t>
      </w:r>
    </w:p>
    <w:p>
      <w:pPr>
        <w:pStyle w:val="BodyText"/>
      </w:pPr>
      <w:r>
        <w:t xml:space="preserve">IACSF-POL-005 | Version 1.0 | Effective Season 2026</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Document No.</w:t>
            </w:r>
          </w:p>
        </w:tc>
        <w:tc>
          <w:tcPr/>
          <w:p>
            <w:pPr>
              <w:pStyle w:val="Compact"/>
              <w:jc w:val="left"/>
            </w:pPr>
            <w:r>
              <w:t xml:space="preserve">IACSF-POL-005</w:t>
            </w:r>
          </w:p>
        </w:tc>
      </w:tr>
      <w:tr>
        <w:tc>
          <w:tcPr/>
          <w:p>
            <w:pPr>
              <w:pStyle w:val="Compact"/>
              <w:jc w:val="left"/>
            </w:pPr>
            <w:r>
              <w:rPr>
                <w:bCs/>
                <w:b/>
              </w:rPr>
              <w:t xml:space="preserve">Authority</w:t>
            </w:r>
          </w:p>
        </w:tc>
        <w:tc>
          <w:tcPr/>
          <w:p>
            <w:pPr>
              <w:pStyle w:val="Compact"/>
              <w:jc w:val="left"/>
            </w:pPr>
            <w:r>
              <w:t xml:space="preserve">IACSF Bylaws, Article XXIII, Section 23.4</w:t>
            </w:r>
          </w:p>
        </w:tc>
      </w:tr>
      <w:tr>
        <w:tc>
          <w:tcPr/>
          <w:p>
            <w:pPr>
              <w:pStyle w:val="Compact"/>
              <w:jc w:val="left"/>
            </w:pPr>
            <w:r>
              <w:rPr>
                <w:bCs/>
                <w:b/>
              </w:rPr>
              <w:t xml:space="preserve">Effective Date</w:t>
            </w:r>
          </w:p>
        </w:tc>
        <w:tc>
          <w:tcPr/>
          <w:p>
            <w:pPr>
              <w:pStyle w:val="Compact"/>
              <w:jc w:val="left"/>
            </w:pPr>
            <w:r>
              <w:t xml:space="preserve">January 1, 2026</w:t>
            </w:r>
          </w:p>
        </w:tc>
      </w:tr>
      <w:tr>
        <w:tc>
          <w:tcPr/>
          <w:p>
            <w:pPr>
              <w:pStyle w:val="Compact"/>
              <w:jc w:val="left"/>
            </w:pPr>
            <w:r>
              <w:rPr>
                <w:bCs/>
                <w:b/>
              </w:rPr>
              <w:t xml:space="preserve">Approved By</w:t>
            </w:r>
          </w:p>
        </w:tc>
        <w:tc>
          <w:tcPr/>
          <w:p>
            <w:pPr>
              <w:pStyle w:val="Compact"/>
              <w:jc w:val="left"/>
            </w:pPr>
            <w:r>
              <w:t xml:space="preserve">IACSF Board of Directors</w:t>
            </w:r>
          </w:p>
        </w:tc>
      </w:tr>
      <w:tr>
        <w:tc>
          <w:tcPr/>
          <w:p>
            <w:pPr>
              <w:pStyle w:val="Compact"/>
              <w:jc w:val="left"/>
            </w:pPr>
            <w:r>
              <w:rPr>
                <w:bCs/>
                <w:b/>
              </w:rPr>
              <w:t xml:space="preserve">Administered By</w:t>
            </w:r>
          </w:p>
        </w:tc>
        <w:tc>
          <w:tcPr/>
          <w:p>
            <w:pPr>
              <w:pStyle w:val="Compact"/>
              <w:jc w:val="left"/>
            </w:pPr>
            <w:r>
              <w:t xml:space="preserve">IACSF Commissioner</w:t>
            </w:r>
          </w:p>
        </w:tc>
      </w:tr>
      <w:tr>
        <w:tc>
          <w:tcPr/>
          <w:p>
            <w:pPr>
              <w:pStyle w:val="Compact"/>
              <w:jc w:val="left"/>
            </w:pPr>
            <w:r>
              <w:rPr>
                <w:bCs/>
                <w:b/>
              </w:rPr>
              <w:t xml:space="preserve">Review Cycle</w:t>
            </w:r>
          </w:p>
        </w:tc>
        <w:tc>
          <w:tcPr/>
          <w:p>
            <w:pPr>
              <w:pStyle w:val="Compact"/>
              <w:jc w:val="left"/>
            </w:pPr>
            <w:r>
              <w:t xml:space="preserve">Annual, or upon any significant commercial development</w:t>
            </w:r>
          </w:p>
        </w:tc>
      </w:tr>
    </w:tbl>
    <w:p>
      <w:pPr>
        <w:pStyle w:val="BodyText"/>
      </w:pPr>
      <w:r>
        <w:t xml:space="preserve">This Policy is issued pursuant to Article XXIII, Section 23.4 of the IACSF Bylaws, which requires the IACSF to maintain a sponsorship integrity policy governing categories of commercial partners the Federation and its Member Teams may and may not accept. The Policy applies to all sponsorship, naming rights, and commercial partnership arrangements at the Federation level and at the team level for activities connected to IACSF-sanctioned events.</w:t>
      </w:r>
    </w:p>
    <w:p>
      <w:pPr>
        <w:pStyle w:val="BodyText"/>
      </w:pPr>
      <w:r>
        <w:t xml:space="preserve">The IACSF’s commercial relationships must be consistent with its mission as a governing body for aerial combat sport, its obligations to participant safety, and its responsibility to maintain public trust in the integrity of competition.</w:t>
      </w:r>
    </w:p>
    <w:bookmarkStart w:id="22" w:name="section-1-scope-and-definitions"/>
    <w:p>
      <w:pPr>
        <w:pStyle w:val="Heading1"/>
      </w:pPr>
      <w:r>
        <w:t xml:space="preserve">SECTION 1 — SCOPE AND DEFINITIONS</w:t>
      </w:r>
    </w:p>
    <w:bookmarkStart w:id="20" w:name="scope"/>
    <w:p>
      <w:pPr>
        <w:pStyle w:val="Heading2"/>
      </w:pPr>
      <w:r>
        <w:t xml:space="preserve">1.1 Scope</w:t>
      </w:r>
    </w:p>
    <w:p>
      <w:pPr>
        <w:pStyle w:val="FirstParagraph"/>
      </w:pPr>
      <w:r>
        <w:t xml:space="preserve">This Policy applies to:</w:t>
      </w:r>
    </w:p>
    <w:p>
      <w:pPr>
        <w:numPr>
          <w:ilvl w:val="0"/>
          <w:numId w:val="1001"/>
        </w:numPr>
      </w:pPr>
      <w:r>
        <w:t xml:space="preserve">All sponsorship, title sponsorship, presenting sponsorship, and naming rights agreements entered into by the IACSF at the Federation level;</w:t>
      </w:r>
    </w:p>
    <w:p>
      <w:pPr>
        <w:numPr>
          <w:ilvl w:val="0"/>
          <w:numId w:val="1001"/>
        </w:numPr>
      </w:pPr>
      <w:r>
        <w:t xml:space="preserve">All sponsorship agreements entered into by Member Teams that involve the display of sponsor marks at any IACSF-sanctioned event, on IACSF Championship broadcast content, or on aircraft, uniforms, or equipment used in IACSF competition;</w:t>
      </w:r>
    </w:p>
    <w:p>
      <w:pPr>
        <w:numPr>
          <w:ilvl w:val="0"/>
          <w:numId w:val="1001"/>
        </w:numPr>
      </w:pPr>
      <w:r>
        <w:t xml:space="preserve">All commercial partnership, licensing, and endorsement arrangements that use IACSF marks or Championship designations.</w:t>
      </w:r>
    </w:p>
    <w:p>
      <w:pPr>
        <w:pStyle w:val="FirstParagraph"/>
      </w:pPr>
      <w:r>
        <w:t xml:space="preserve">This Policy does not govern Member Team commercial arrangements that are entirely confined to non-IACSF events, provided no IACSF marks or Championship designations are associated with those arrangements.</w:t>
      </w:r>
    </w:p>
    <w:bookmarkEnd w:id="20"/>
    <w:bookmarkStart w:id="21" w:name="definitions"/>
    <w:p>
      <w:pPr>
        <w:pStyle w:val="Heading2"/>
      </w:pPr>
      <w:r>
        <w:t xml:space="preserve">1.2 Definitions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Federation Sponsor</w:t>
            </w:r>
          </w:p>
        </w:tc>
        <w:tc>
          <w:tcPr/>
          <w:p>
            <w:pPr>
              <w:pStyle w:val="Compact"/>
              <w:jc w:val="left"/>
            </w:pPr>
            <w:r>
              <w:t xml:space="preserve">A commercial partner holding a sponsorship agreement directly with the IACSF at any level (title, presenting, official, category, or supplier).</w:t>
            </w:r>
          </w:p>
        </w:tc>
      </w:tr>
      <w:tr>
        <w:tc>
          <w:tcPr/>
          <w:p>
            <w:pPr>
              <w:pStyle w:val="Compact"/>
              <w:jc w:val="left"/>
            </w:pPr>
            <w:r>
              <w:rPr>
                <w:bCs/>
                <w:b/>
              </w:rPr>
              <w:t xml:space="preserve">Team Sponsor</w:t>
            </w:r>
          </w:p>
        </w:tc>
        <w:tc>
          <w:tcPr/>
          <w:p>
            <w:pPr>
              <w:pStyle w:val="Compact"/>
              <w:jc w:val="left"/>
            </w:pPr>
            <w:r>
              <w:t xml:space="preserve">A commercial partner holding a sponsorship agreement with a Member Team that involves visibility at IACSF-sanctioned events or on IACSF broadcast content.</w:t>
            </w:r>
          </w:p>
        </w:tc>
      </w:tr>
      <w:tr>
        <w:tc>
          <w:tcPr/>
          <w:p>
            <w:pPr>
              <w:pStyle w:val="Compact"/>
              <w:jc w:val="left"/>
            </w:pPr>
            <w:r>
              <w:rPr>
                <w:bCs/>
                <w:b/>
              </w:rPr>
              <w:t xml:space="preserve">Naming Rights</w:t>
            </w:r>
          </w:p>
        </w:tc>
        <w:tc>
          <w:tcPr/>
          <w:p>
            <w:pPr>
              <w:pStyle w:val="Compact"/>
              <w:jc w:val="left"/>
            </w:pPr>
            <w:r>
              <w:t xml:space="preserve">The right to associate a sponsor’s name with an IACSF event, competition, facility, or series designation.</w:t>
            </w:r>
          </w:p>
        </w:tc>
      </w:tr>
      <w:tr>
        <w:tc>
          <w:tcPr/>
          <w:p>
            <w:pPr>
              <w:pStyle w:val="Compact"/>
              <w:jc w:val="left"/>
            </w:pPr>
            <w:r>
              <w:rPr>
                <w:bCs/>
                <w:b/>
              </w:rPr>
              <w:t xml:space="preserve">Category Exclusivity</w:t>
            </w:r>
          </w:p>
        </w:tc>
        <w:tc>
          <w:tcPr/>
          <w:p>
            <w:pPr>
              <w:pStyle w:val="Compact"/>
              <w:jc w:val="left"/>
            </w:pPr>
            <w:r>
              <w:t xml:space="preserve">A contractual right granted to a Federation Sponsor preventing the IACSF from entering into an agreement with a competitor in the same product or service category.</w:t>
            </w:r>
          </w:p>
        </w:tc>
      </w:tr>
      <w:tr>
        <w:tc>
          <w:tcPr/>
          <w:p>
            <w:pPr>
              <w:pStyle w:val="Compact"/>
              <w:jc w:val="left"/>
            </w:pPr>
            <w:r>
              <w:rPr>
                <w:bCs/>
                <w:b/>
              </w:rPr>
              <w:t xml:space="preserve">Prohibited Category</w:t>
            </w:r>
          </w:p>
        </w:tc>
        <w:tc>
          <w:tcPr/>
          <w:p>
            <w:pPr>
              <w:pStyle w:val="Compact"/>
              <w:jc w:val="left"/>
            </w:pPr>
            <w:r>
              <w:t xml:space="preserve">A type of commercial partner or product/service category the IACSF does not accept as a Federation Sponsor under any circumstances.</w:t>
            </w:r>
          </w:p>
        </w:tc>
      </w:tr>
      <w:tr>
        <w:tc>
          <w:tcPr/>
          <w:p>
            <w:pPr>
              <w:pStyle w:val="Compact"/>
              <w:jc w:val="left"/>
            </w:pPr>
            <w:r>
              <w:rPr>
                <w:bCs/>
                <w:b/>
              </w:rPr>
              <w:t xml:space="preserve">Restricted Category</w:t>
            </w:r>
          </w:p>
        </w:tc>
        <w:tc>
          <w:tcPr/>
          <w:p>
            <w:pPr>
              <w:pStyle w:val="Compact"/>
              <w:jc w:val="left"/>
            </w:pPr>
            <w:r>
              <w:t xml:space="preserve">A category the IACSF may accept subject to Board approval and the conditions set out in Section 3.</w:t>
            </w:r>
          </w:p>
        </w:tc>
      </w:tr>
      <w:tr>
        <w:tc>
          <w:tcPr/>
          <w:p>
            <w:pPr>
              <w:pStyle w:val="Compact"/>
              <w:jc w:val="left"/>
            </w:pPr>
            <w:r>
              <w:rPr>
                <w:bCs/>
                <w:b/>
              </w:rPr>
              <w:t xml:space="preserve">Commissioner</w:t>
            </w:r>
          </w:p>
        </w:tc>
        <w:tc>
          <w:tcPr/>
          <w:p>
            <w:pPr>
              <w:pStyle w:val="Compact"/>
              <w:jc w:val="left"/>
            </w:pPr>
            <w:r>
              <w:t xml:space="preserve">The IACSF Commissioner or designated commercial affairs representative.</w:t>
            </w:r>
          </w:p>
        </w:tc>
      </w:tr>
    </w:tbl>
    <w:bookmarkEnd w:id="21"/>
    <w:bookmarkEnd w:id="22"/>
    <w:bookmarkStart w:id="25" w:name="Xa7ab221642e5df96c4bb94b8c0dcc43fb1e99df"/>
    <w:p>
      <w:pPr>
        <w:pStyle w:val="Heading1"/>
      </w:pPr>
      <w:r>
        <w:t xml:space="preserve">SECTION 2 — FEDERATION SPONSORSHIP HIERARCHY</w:t>
      </w:r>
    </w:p>
    <w:bookmarkStart w:id="23" w:name="sponsorship-tiers"/>
    <w:p>
      <w:pPr>
        <w:pStyle w:val="Heading2"/>
      </w:pPr>
      <w:r>
        <w:t xml:space="preserve">2.1 Sponsorship Tiers</w:t>
      </w:r>
    </w:p>
    <w:p>
      <w:pPr>
        <w:pStyle w:val="FirstParagraph"/>
      </w:pPr>
      <w:r>
        <w:t xml:space="preserve">The IACSF recognizes the following Federation sponsorship tiers. Tier descriptions and associated benefits are set out in the IACSF Commercial Partnerships Guide, maintained by the Commissioner and updated as needed.</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Tier</w:t>
            </w:r>
          </w:p>
        </w:tc>
        <w:tc>
          <w:tcPr/>
          <w:p>
            <w:pPr>
              <w:pStyle w:val="Compact"/>
              <w:jc w:val="left"/>
            </w:pPr>
            <w:r>
              <w:rPr>
                <w:bCs/>
                <w:b/>
              </w:rPr>
              <w:t xml:space="preserve">Designation</w:t>
            </w:r>
          </w:p>
        </w:tc>
        <w:tc>
          <w:tcPr/>
          <w:p>
            <w:pPr>
              <w:pStyle w:val="Compact"/>
              <w:jc w:val="left"/>
            </w:pPr>
            <w:r>
              <w:rPr>
                <w:bCs/>
                <w:b/>
              </w:rPr>
              <w:t xml:space="preserve">Description</w:t>
            </w:r>
          </w:p>
        </w:tc>
      </w:tr>
      <w:tr>
        <w:tc>
          <w:tcPr/>
          <w:p>
            <w:pPr>
              <w:pStyle w:val="Compact"/>
              <w:jc w:val="left"/>
            </w:pPr>
            <w:r>
              <w:rPr>
                <w:bCs/>
                <w:b/>
              </w:rPr>
              <w:t xml:space="preserve">1 — Title</w:t>
            </w:r>
          </w:p>
        </w:tc>
        <w:tc>
          <w:tcPr/>
          <w:p>
            <w:pPr>
              <w:pStyle w:val="Compact"/>
              <w:jc w:val="left"/>
            </w:pPr>
            <w:r>
              <w:t xml:space="preserve">IACSF Title Partner</w:t>
            </w:r>
          </w:p>
        </w:tc>
        <w:tc>
          <w:tcPr/>
          <w:p>
            <w:pPr>
              <w:pStyle w:val="Compact"/>
              <w:jc w:val="left"/>
            </w:pPr>
            <w:r>
              <w:t xml:space="preserve">Highest tier; exclusive; naming rights to the Federation’s flagship Championship series may be included. Subject to Board approval by supermajority vote.</w:t>
            </w:r>
          </w:p>
        </w:tc>
      </w:tr>
      <w:tr>
        <w:tc>
          <w:tcPr/>
          <w:p>
            <w:pPr>
              <w:pStyle w:val="Compact"/>
              <w:jc w:val="left"/>
            </w:pPr>
            <w:r>
              <w:rPr>
                <w:bCs/>
                <w:b/>
              </w:rPr>
              <w:t xml:space="preserve">2 — Presenting</w:t>
            </w:r>
          </w:p>
        </w:tc>
        <w:tc>
          <w:tcPr/>
          <w:p>
            <w:pPr>
              <w:pStyle w:val="Compact"/>
              <w:jc w:val="left"/>
            </w:pPr>
            <w:r>
              <w:t xml:space="preserve">IACSF Presenting Partner</w:t>
            </w:r>
          </w:p>
        </w:tc>
        <w:tc>
          <w:tcPr/>
          <w:p>
            <w:pPr>
              <w:pStyle w:val="Compact"/>
              <w:jc w:val="left"/>
            </w:pPr>
            <w:r>
              <w:t xml:space="preserve">Exclusive within product category; prominent branding across all IACSF Championships and official media.</w:t>
            </w:r>
          </w:p>
        </w:tc>
      </w:tr>
      <w:tr>
        <w:tc>
          <w:tcPr/>
          <w:p>
            <w:pPr>
              <w:pStyle w:val="Compact"/>
              <w:jc w:val="left"/>
            </w:pPr>
            <w:r>
              <w:rPr>
                <w:bCs/>
                <w:b/>
              </w:rPr>
              <w:t xml:space="preserve">3 — Official</w:t>
            </w:r>
          </w:p>
        </w:tc>
        <w:tc>
          <w:tcPr/>
          <w:p>
            <w:pPr>
              <w:pStyle w:val="Compact"/>
              <w:jc w:val="left"/>
            </w:pPr>
            <w:r>
              <w:t xml:space="preserve">IACSF Official Partner</w:t>
            </w:r>
          </w:p>
        </w:tc>
        <w:tc>
          <w:tcPr/>
          <w:p>
            <w:pPr>
              <w:pStyle w:val="Compact"/>
              <w:jc w:val="left"/>
            </w:pPr>
            <w:r>
              <w:t xml:space="preserve">Non-exclusive within category unless exclusivity is negotiated; event branding and credentialing.</w:t>
            </w:r>
          </w:p>
        </w:tc>
      </w:tr>
      <w:tr>
        <w:tc>
          <w:tcPr/>
          <w:p>
            <w:pPr>
              <w:pStyle w:val="Compact"/>
              <w:jc w:val="left"/>
            </w:pPr>
            <w:r>
              <w:rPr>
                <w:bCs/>
                <w:b/>
              </w:rPr>
              <w:t xml:space="preserve">4 — Category / Supplier</w:t>
            </w:r>
          </w:p>
        </w:tc>
        <w:tc>
          <w:tcPr/>
          <w:p>
            <w:pPr>
              <w:pStyle w:val="Compact"/>
              <w:jc w:val="left"/>
            </w:pPr>
            <w:r>
              <w:t xml:space="preserve">IACSF Official Supplier</w:t>
            </w:r>
          </w:p>
        </w:tc>
        <w:tc>
          <w:tcPr/>
          <w:p>
            <w:pPr>
              <w:pStyle w:val="Compact"/>
              <w:jc w:val="left"/>
            </w:pPr>
            <w:r>
              <w:t xml:space="preserve">Product/service category exclusivity at event level; product integration and on-site rights.</w:t>
            </w:r>
          </w:p>
        </w:tc>
      </w:tr>
    </w:tbl>
    <w:bookmarkEnd w:id="23"/>
    <w:bookmarkStart w:id="24" w:name="board-approval-thresholds"/>
    <w:p>
      <w:pPr>
        <w:pStyle w:val="Heading2"/>
      </w:pPr>
      <w:r>
        <w:t xml:space="preserve">2.2 Board Approval Thresholds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Title Partner agreements</w:t>
            </w:r>
          </w:p>
        </w:tc>
        <w:tc>
          <w:tcPr/>
          <w:p>
            <w:pPr>
              <w:pStyle w:val="Compact"/>
              <w:jc w:val="left"/>
            </w:pPr>
            <w:r>
              <w:t xml:space="preserve">Board approval by supermajority (two-thirds) vote required.</w:t>
            </w:r>
          </w:p>
        </w:tc>
      </w:tr>
      <w:tr>
        <w:tc>
          <w:tcPr/>
          <w:p>
            <w:pPr>
              <w:pStyle w:val="Compact"/>
              <w:jc w:val="left"/>
            </w:pPr>
            <w:r>
              <w:rPr>
                <w:bCs/>
                <w:b/>
              </w:rPr>
              <w:t xml:space="preserve">Presenting Partner agreements</w:t>
            </w:r>
          </w:p>
        </w:tc>
        <w:tc>
          <w:tcPr/>
          <w:p>
            <w:pPr>
              <w:pStyle w:val="Compact"/>
              <w:jc w:val="left"/>
            </w:pPr>
            <w:r>
              <w:t xml:space="preserve">Board approval by simple majority required.</w:t>
            </w:r>
          </w:p>
        </w:tc>
      </w:tr>
      <w:tr>
        <w:tc>
          <w:tcPr/>
          <w:p>
            <w:pPr>
              <w:pStyle w:val="Compact"/>
              <w:jc w:val="left"/>
            </w:pPr>
            <w:r>
              <w:rPr>
                <w:bCs/>
                <w:b/>
              </w:rPr>
              <w:t xml:space="preserve">Official Partner and Supplier agreements</w:t>
            </w:r>
          </w:p>
        </w:tc>
        <w:tc>
          <w:tcPr/>
          <w:p>
            <w:pPr>
              <w:pStyle w:val="Compact"/>
              <w:jc w:val="left"/>
            </w:pPr>
            <w:r>
              <w:t xml:space="preserve">Commissioner may approve; Board notified at next meeting.</w:t>
            </w:r>
          </w:p>
        </w:tc>
      </w:tr>
      <w:tr>
        <w:tc>
          <w:tcPr/>
          <w:p>
            <w:pPr>
              <w:pStyle w:val="Compact"/>
              <w:jc w:val="left"/>
            </w:pPr>
            <w:r>
              <w:rPr>
                <w:bCs/>
                <w:b/>
              </w:rPr>
              <w:t xml:space="preserve">Any agreement with naming rights</w:t>
            </w:r>
          </w:p>
        </w:tc>
        <w:tc>
          <w:tcPr/>
          <w:p>
            <w:pPr>
              <w:pStyle w:val="Compact"/>
              <w:jc w:val="left"/>
            </w:pPr>
            <w:r>
              <w:t xml:space="preserve">Board approval required regardless of tier.</w:t>
            </w:r>
          </w:p>
        </w:tc>
      </w:tr>
      <w:tr>
        <w:tc>
          <w:tcPr/>
          <w:p>
            <w:pPr>
              <w:pStyle w:val="Compact"/>
              <w:jc w:val="left"/>
            </w:pPr>
            <w:r>
              <w:rPr>
                <w:bCs/>
                <w:b/>
              </w:rPr>
              <w:t xml:space="preserve">Any agreement in a Restricted Category</w:t>
            </w:r>
          </w:p>
        </w:tc>
        <w:tc>
          <w:tcPr/>
          <w:p>
            <w:pPr>
              <w:pStyle w:val="Compact"/>
              <w:jc w:val="left"/>
            </w:pPr>
            <w:r>
              <w:t xml:space="preserve">Board approval required regardless of tier (see Section 3.2).</w:t>
            </w:r>
          </w:p>
        </w:tc>
      </w:tr>
      <w:tr>
        <w:tc>
          <w:tcPr/>
          <w:p>
            <w:pPr>
              <w:pStyle w:val="Compact"/>
              <w:jc w:val="left"/>
            </w:pPr>
            <w:r>
              <w:rPr>
                <w:bCs/>
                <w:b/>
              </w:rPr>
              <w:t xml:space="preserve">Any agreement term exceeding 5 years</w:t>
            </w:r>
          </w:p>
        </w:tc>
        <w:tc>
          <w:tcPr/>
          <w:p>
            <w:pPr>
              <w:pStyle w:val="Compact"/>
              <w:jc w:val="left"/>
            </w:pPr>
            <w:r>
              <w:t xml:space="preserve">Board approval by supermajority required.</w:t>
            </w:r>
          </w:p>
        </w:tc>
      </w:tr>
    </w:tbl>
    <w:bookmarkEnd w:id="24"/>
    <w:bookmarkEnd w:id="25"/>
    <w:bookmarkStart w:id="28" w:name="Xee1ec404d1824f8e8a203cc42738648679b096c"/>
    <w:p>
      <w:pPr>
        <w:pStyle w:val="Heading1"/>
      </w:pPr>
      <w:r>
        <w:t xml:space="preserve">SECTION 3 — PERMITTED, RESTRICTED, AND PROHIBITED CATEGORIES</w:t>
      </w:r>
    </w:p>
    <w:bookmarkStart w:id="26" w:name="category-schedule"/>
    <w:p>
      <w:pPr>
        <w:pStyle w:val="Heading2"/>
      </w:pPr>
      <w:r>
        <w:t xml:space="preserve">3.1 Category Schedule</w:t>
      </w:r>
    </w:p>
    <w:p>
      <w:pPr>
        <w:pStyle w:val="FirstParagraph"/>
      </w:pPr>
      <w:r>
        <w:t xml:space="preserve">The following table sets out the IACSF’s position on common sponsorship categories. Categories not listed are treated as Permitted subject to Commissioner review. The Board may amend the schedule by resolution at any time.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Category</w:t>
            </w:r>
          </w:p>
        </w:tc>
        <w:tc>
          <w:tcPr/>
          <w:p>
            <w:pPr>
              <w:pStyle w:val="Compact"/>
              <w:jc w:val="left"/>
            </w:pPr>
            <w:r>
              <w:rPr>
                <w:bCs/>
                <w:b/>
              </w:rPr>
              <w:t xml:space="preserve">Status</w:t>
            </w:r>
          </w:p>
        </w:tc>
        <w:tc>
          <w:tcPr/>
          <w:p>
            <w:pPr>
              <w:pStyle w:val="Compact"/>
              <w:jc w:val="left"/>
            </w:pPr>
            <w:r>
              <w:rPr>
                <w:bCs/>
                <w:b/>
              </w:rPr>
              <w:t xml:space="preserve">Conditions / Notes</w:t>
            </w:r>
          </w:p>
        </w:tc>
      </w:tr>
      <w:tr>
        <w:tc>
          <w:tcPr/>
          <w:p>
            <w:pPr>
              <w:pStyle w:val="Compact"/>
              <w:jc w:val="left"/>
            </w:pPr>
            <w:r>
              <w:rPr>
                <w:bCs/>
                <w:b/>
              </w:rPr>
              <w:t xml:space="preserve">Aviation &amp; Aerospace</w:t>
            </w:r>
          </w:p>
        </w:tc>
        <w:tc>
          <w:tcPr/>
          <w:p>
            <w:pPr>
              <w:pStyle w:val="Compact"/>
              <w:jc w:val="left"/>
            </w:pPr>
            <w:r>
              <w:rPr>
                <w:bCs/>
                <w:b/>
              </w:rPr>
              <w:t xml:space="preserve">PERMITTED</w:t>
            </w:r>
          </w:p>
        </w:tc>
        <w:tc>
          <w:tcPr/>
          <w:p>
            <w:pPr>
              <w:pStyle w:val="Compact"/>
              <w:jc w:val="left"/>
            </w:pPr>
            <w:r>
              <w:t xml:space="preserve">Core category; preferred partners. No conditions beyond standard integrity requirements.</w:t>
            </w:r>
          </w:p>
        </w:tc>
      </w:tr>
      <w:tr>
        <w:tc>
          <w:tcPr/>
          <w:p>
            <w:pPr>
              <w:pStyle w:val="Compact"/>
              <w:jc w:val="left"/>
            </w:pPr>
            <w:r>
              <w:rPr>
                <w:bCs/>
                <w:b/>
              </w:rPr>
              <w:t xml:space="preserve">Defense &amp; Aerospace Technology</w:t>
            </w:r>
          </w:p>
        </w:tc>
        <w:tc>
          <w:tcPr/>
          <w:p>
            <w:pPr>
              <w:pStyle w:val="Compact"/>
              <w:jc w:val="left"/>
            </w:pPr>
            <w:r>
              <w:rPr>
                <w:bCs/>
                <w:b/>
              </w:rPr>
              <w:t xml:space="preserve">PERMITTED</w:t>
            </w:r>
          </w:p>
        </w:tc>
        <w:tc>
          <w:tcPr/>
          <w:p>
            <w:pPr>
              <w:pStyle w:val="Compact"/>
              <w:jc w:val="left"/>
            </w:pPr>
            <w:r>
              <w:t xml:space="preserve">Permitted where products are defense/aerospace sector goods and services. Brand association must not imply endorsement of specific military operations or geopolitical positions.</w:t>
            </w:r>
          </w:p>
        </w:tc>
      </w:tr>
      <w:tr>
        <w:tc>
          <w:tcPr/>
          <w:p>
            <w:pPr>
              <w:pStyle w:val="Compact"/>
              <w:jc w:val="left"/>
            </w:pPr>
            <w:r>
              <w:rPr>
                <w:bCs/>
                <w:b/>
              </w:rPr>
              <w:t xml:space="preserve">Automotive &amp; Motorsport</w:t>
            </w:r>
          </w:p>
        </w:tc>
        <w:tc>
          <w:tcPr/>
          <w:p>
            <w:pPr>
              <w:pStyle w:val="Compact"/>
              <w:jc w:val="left"/>
            </w:pPr>
            <w:r>
              <w:rPr>
                <w:bCs/>
                <w:b/>
              </w:rPr>
              <w:t xml:space="preserve">PERMITTED</w:t>
            </w:r>
          </w:p>
        </w:tc>
        <w:tc>
          <w:tcPr/>
          <w:p>
            <w:pPr>
              <w:pStyle w:val="Compact"/>
              <w:jc w:val="left"/>
            </w:pPr>
            <w:r>
              <w:t xml:space="preserve">No conditions beyond standard integrity requirements.</w:t>
            </w:r>
          </w:p>
        </w:tc>
      </w:tr>
      <w:tr>
        <w:tc>
          <w:tcPr/>
          <w:p>
            <w:pPr>
              <w:pStyle w:val="Compact"/>
              <w:jc w:val="left"/>
            </w:pPr>
            <w:r>
              <w:rPr>
                <w:bCs/>
                <w:b/>
              </w:rPr>
              <w:t xml:space="preserve">Technology &amp; Electronics</w:t>
            </w:r>
          </w:p>
        </w:tc>
        <w:tc>
          <w:tcPr/>
          <w:p>
            <w:pPr>
              <w:pStyle w:val="Compact"/>
              <w:jc w:val="left"/>
            </w:pPr>
            <w:r>
              <w:rPr>
                <w:bCs/>
                <w:b/>
              </w:rPr>
              <w:t xml:space="preserve">PERMITTED</w:t>
            </w:r>
          </w:p>
        </w:tc>
        <w:tc>
          <w:tcPr/>
          <w:p>
            <w:pPr>
              <w:pStyle w:val="Compact"/>
              <w:jc w:val="left"/>
            </w:pPr>
            <w:r>
              <w:t xml:space="preserve">No conditions beyond standard integrity requirements.</w:t>
            </w:r>
          </w:p>
        </w:tc>
      </w:tr>
      <w:tr>
        <w:tc>
          <w:tcPr/>
          <w:p>
            <w:pPr>
              <w:pStyle w:val="Compact"/>
              <w:jc w:val="left"/>
            </w:pPr>
            <w:r>
              <w:rPr>
                <w:bCs/>
                <w:b/>
              </w:rPr>
              <w:t xml:space="preserve">Financial Services &amp; Insurance</w:t>
            </w:r>
          </w:p>
        </w:tc>
        <w:tc>
          <w:tcPr/>
          <w:p>
            <w:pPr>
              <w:pStyle w:val="Compact"/>
              <w:jc w:val="left"/>
            </w:pPr>
            <w:r>
              <w:rPr>
                <w:bCs/>
                <w:b/>
              </w:rPr>
              <w:t xml:space="preserve">PERMITTED</w:t>
            </w:r>
          </w:p>
        </w:tc>
        <w:tc>
          <w:tcPr/>
          <w:p>
            <w:pPr>
              <w:pStyle w:val="Compact"/>
              <w:jc w:val="left"/>
            </w:pPr>
            <w:r>
              <w:t xml:space="preserve">Must be licensed and regulated in the primary event jurisdiction. No predatory lending products.</w:t>
            </w:r>
          </w:p>
        </w:tc>
      </w:tr>
      <w:tr>
        <w:tc>
          <w:tcPr/>
          <w:p>
            <w:pPr>
              <w:pStyle w:val="Compact"/>
              <w:jc w:val="left"/>
            </w:pPr>
            <w:r>
              <w:rPr>
                <w:bCs/>
                <w:b/>
              </w:rPr>
              <w:t xml:space="preserve">Energy &amp; Fuel</w:t>
            </w:r>
          </w:p>
        </w:tc>
        <w:tc>
          <w:tcPr/>
          <w:p>
            <w:pPr>
              <w:pStyle w:val="Compact"/>
              <w:jc w:val="left"/>
            </w:pPr>
            <w:r>
              <w:rPr>
                <w:bCs/>
                <w:b/>
              </w:rPr>
              <w:t xml:space="preserve">PERMITTED</w:t>
            </w:r>
          </w:p>
        </w:tc>
        <w:tc>
          <w:tcPr/>
          <w:p>
            <w:pPr>
              <w:pStyle w:val="Compact"/>
              <w:jc w:val="left"/>
            </w:pPr>
            <w:r>
              <w:t xml:space="preserve">Preferred category given operational relevance. Standard integrity requirements apply.</w:t>
            </w:r>
          </w:p>
        </w:tc>
      </w:tr>
      <w:tr>
        <w:tc>
          <w:tcPr/>
          <w:p>
            <w:pPr>
              <w:pStyle w:val="Compact"/>
              <w:jc w:val="left"/>
            </w:pPr>
            <w:r>
              <w:rPr>
                <w:bCs/>
                <w:b/>
              </w:rPr>
              <w:t xml:space="preserve">Sports Nutrition &amp; Performance</w:t>
            </w:r>
          </w:p>
        </w:tc>
        <w:tc>
          <w:tcPr/>
          <w:p>
            <w:pPr>
              <w:pStyle w:val="Compact"/>
              <w:jc w:val="left"/>
            </w:pPr>
            <w:r>
              <w:rPr>
                <w:bCs/>
                <w:b/>
              </w:rPr>
              <w:t xml:space="preserve">PERMITTED</w:t>
            </w:r>
          </w:p>
        </w:tc>
        <w:tc>
          <w:tcPr/>
          <w:p>
            <w:pPr>
              <w:pStyle w:val="Compact"/>
              <w:jc w:val="left"/>
            </w:pPr>
            <w:r>
              <w:t xml:space="preserve">Products must not contain prohibited substances under the IACSF Anti-Doping Code. Sponsor warrants compliance.</w:t>
            </w:r>
          </w:p>
        </w:tc>
      </w:tr>
      <w:tr>
        <w:tc>
          <w:tcPr/>
          <w:p>
            <w:pPr>
              <w:pStyle w:val="Compact"/>
              <w:jc w:val="left"/>
            </w:pPr>
            <w:r>
              <w:rPr>
                <w:bCs/>
                <w:b/>
              </w:rPr>
              <w:t xml:space="preserve">Media &amp; Broadcasting</w:t>
            </w:r>
          </w:p>
        </w:tc>
        <w:tc>
          <w:tcPr/>
          <w:p>
            <w:pPr>
              <w:pStyle w:val="Compact"/>
              <w:jc w:val="left"/>
            </w:pPr>
            <w:r>
              <w:rPr>
                <w:bCs/>
                <w:b/>
              </w:rPr>
              <w:t xml:space="preserve">PERMITTED</w:t>
            </w:r>
          </w:p>
        </w:tc>
        <w:tc>
          <w:tcPr/>
          <w:p>
            <w:pPr>
              <w:pStyle w:val="Compact"/>
              <w:jc w:val="left"/>
            </w:pPr>
            <w:r>
              <w:t xml:space="preserve">Subject to coordination with existing media rights agreements to avoid conflicts.</w:t>
            </w:r>
          </w:p>
        </w:tc>
      </w:tr>
      <w:tr>
        <w:tc>
          <w:tcPr/>
          <w:p>
            <w:pPr>
              <w:pStyle w:val="Compact"/>
              <w:jc w:val="left"/>
            </w:pPr>
            <w:r>
              <w:rPr>
                <w:bCs/>
                <w:b/>
              </w:rPr>
              <w:t xml:space="preserve">Consumer Goods &amp; Apparel</w:t>
            </w:r>
          </w:p>
        </w:tc>
        <w:tc>
          <w:tcPr/>
          <w:p>
            <w:pPr>
              <w:pStyle w:val="Compact"/>
              <w:jc w:val="left"/>
            </w:pPr>
            <w:r>
              <w:rPr>
                <w:bCs/>
                <w:b/>
              </w:rPr>
              <w:t xml:space="preserve">PERMITTED</w:t>
            </w:r>
          </w:p>
        </w:tc>
        <w:tc>
          <w:tcPr/>
          <w:p>
            <w:pPr>
              <w:pStyle w:val="Compact"/>
              <w:jc w:val="left"/>
            </w:pPr>
            <w:r>
              <w:t xml:space="preserve">No conditions beyond standard integrity requirements.</w:t>
            </w:r>
          </w:p>
        </w:tc>
      </w:tr>
      <w:tr>
        <w:tc>
          <w:tcPr/>
          <w:p>
            <w:pPr>
              <w:pStyle w:val="Compact"/>
              <w:jc w:val="left"/>
            </w:pPr>
            <w:r>
              <w:rPr>
                <w:bCs/>
                <w:b/>
              </w:rPr>
              <w:t xml:space="preserve">Alcohol (Beer, Wine, Spirits)</w:t>
            </w:r>
          </w:p>
        </w:tc>
        <w:tc>
          <w:tcPr/>
          <w:p>
            <w:pPr>
              <w:pStyle w:val="Compact"/>
              <w:jc w:val="left"/>
            </w:pPr>
            <w:r>
              <w:rPr>
                <w:bCs/>
                <w:b/>
              </w:rPr>
              <w:t xml:space="preserve">RESTRICTED</w:t>
            </w:r>
          </w:p>
        </w:tc>
        <w:tc>
          <w:tcPr/>
          <w:p>
            <w:pPr>
              <w:pStyle w:val="Compact"/>
              <w:jc w:val="left"/>
            </w:pPr>
            <w:r>
              <w:t xml:space="preserve">Permitted subject to Board approval. Must comply with all applicable local advertising laws. No activation targeting minors. Messaging must be responsible consumption. Not permitted as Title or Presenting Partner.</w:t>
            </w:r>
          </w:p>
        </w:tc>
      </w:tr>
      <w:tr>
        <w:tc>
          <w:tcPr/>
          <w:p>
            <w:pPr>
              <w:pStyle w:val="Compact"/>
              <w:jc w:val="left"/>
            </w:pPr>
            <w:r>
              <w:rPr>
                <w:bCs/>
                <w:b/>
              </w:rPr>
              <w:t xml:space="preserve">Gambling &amp; Sports Betting</w:t>
            </w:r>
          </w:p>
        </w:tc>
        <w:tc>
          <w:tcPr/>
          <w:p>
            <w:pPr>
              <w:pStyle w:val="Compact"/>
              <w:jc w:val="left"/>
            </w:pPr>
            <w:r>
              <w:rPr>
                <w:bCs/>
                <w:b/>
              </w:rPr>
              <w:t xml:space="preserve">RESTRICTED</w:t>
            </w:r>
          </w:p>
        </w:tc>
        <w:tc>
          <w:tcPr/>
          <w:p>
            <w:pPr>
              <w:pStyle w:val="Compact"/>
              <w:jc w:val="left"/>
            </w:pPr>
            <w:r>
              <w:t xml:space="preserve">Permitted where legal in the event jurisdiction, subject to Board approval. Must not involve markets on which IACSF competition results are directly wagered unless jurisdiction-compliant integrity protocols are in place. Not permitted as Title or Presenting Partner.</w:t>
            </w:r>
          </w:p>
        </w:tc>
      </w:tr>
      <w:tr>
        <w:tc>
          <w:tcPr/>
          <w:p>
            <w:pPr>
              <w:pStyle w:val="Compact"/>
              <w:jc w:val="left"/>
            </w:pPr>
            <w:r>
              <w:rPr>
                <w:bCs/>
                <w:b/>
              </w:rPr>
              <w:t xml:space="preserve">Firearms, Ammunition &amp; Weapons</w:t>
            </w:r>
          </w:p>
        </w:tc>
        <w:tc>
          <w:tcPr/>
          <w:p>
            <w:pPr>
              <w:pStyle w:val="Compact"/>
              <w:jc w:val="left"/>
            </w:pPr>
            <w:r>
              <w:rPr>
                <w:bCs/>
                <w:b/>
              </w:rPr>
              <w:t xml:space="preserve">RESTRICTED</w:t>
            </w:r>
          </w:p>
        </w:tc>
        <w:tc>
          <w:tcPr/>
          <w:p>
            <w:pPr>
              <w:pStyle w:val="Compact"/>
              <w:jc w:val="left"/>
            </w:pPr>
            <w:r>
              <w:t xml:space="preserve">Permitted for lawful civilian and sporting firearms/equipment manufacturers where relevant to the IACSF’s combat sport context, subject to Board approval. Advertising must comply with applicable laws. Promotion of illegal modifications prohibited.</w:t>
            </w:r>
          </w:p>
        </w:tc>
      </w:tr>
      <w:tr>
        <w:tc>
          <w:tcPr/>
          <w:p>
            <w:pPr>
              <w:pStyle w:val="Compact"/>
              <w:jc w:val="left"/>
            </w:pPr>
            <w:r>
              <w:rPr>
                <w:bCs/>
                <w:b/>
              </w:rPr>
              <w:t xml:space="preserve">CBD &amp; Hemp Products</w:t>
            </w:r>
          </w:p>
        </w:tc>
        <w:tc>
          <w:tcPr/>
          <w:p>
            <w:pPr>
              <w:pStyle w:val="Compact"/>
              <w:jc w:val="left"/>
            </w:pPr>
            <w:r>
              <w:rPr>
                <w:bCs/>
                <w:b/>
              </w:rPr>
              <w:t xml:space="preserve">RESTRICTED</w:t>
            </w:r>
          </w:p>
        </w:tc>
        <w:tc>
          <w:tcPr/>
          <w:p>
            <w:pPr>
              <w:pStyle w:val="Compact"/>
              <w:jc w:val="left"/>
            </w:pPr>
            <w:r>
              <w:t xml:space="preserve">Permitted where legal in all primary event jurisdictions and where products contain no prohibited substances per the Anti-Doping Code. Board approval required.</w:t>
            </w:r>
          </w:p>
        </w:tc>
      </w:tr>
      <w:tr>
        <w:tc>
          <w:tcPr/>
          <w:p>
            <w:pPr>
              <w:pStyle w:val="Compact"/>
              <w:jc w:val="left"/>
            </w:pPr>
            <w:r>
              <w:rPr>
                <w:bCs/>
                <w:b/>
              </w:rPr>
              <w:t xml:space="preserve">Pharmaceutical &amp; Medical</w:t>
            </w:r>
          </w:p>
        </w:tc>
        <w:tc>
          <w:tcPr/>
          <w:p>
            <w:pPr>
              <w:pStyle w:val="Compact"/>
              <w:jc w:val="left"/>
            </w:pPr>
            <w:r>
              <w:rPr>
                <w:bCs/>
                <w:b/>
              </w:rPr>
              <w:t xml:space="preserve">RESTRICTED</w:t>
            </w:r>
          </w:p>
        </w:tc>
        <w:tc>
          <w:tcPr/>
          <w:p>
            <w:pPr>
              <w:pStyle w:val="Compact"/>
              <w:jc w:val="left"/>
            </w:pPr>
            <w:r>
              <w:t xml:space="preserve">Permitted for OTC, wellness, and medical equipment categories. Prescription-only drug advertising subject to jurisdiction-specific rules and Board approval. No promotion of substances on the WADA Prohibited List.</w:t>
            </w:r>
          </w:p>
        </w:tc>
      </w:tr>
      <w:tr>
        <w:tc>
          <w:tcPr/>
          <w:p>
            <w:pPr>
              <w:pStyle w:val="Compact"/>
              <w:jc w:val="left"/>
            </w:pPr>
            <w:r>
              <w:rPr>
                <w:bCs/>
                <w:b/>
              </w:rPr>
              <w:t xml:space="preserve">Tobacco &amp; Nicotine Products</w:t>
            </w:r>
          </w:p>
        </w:tc>
        <w:tc>
          <w:tcPr/>
          <w:p>
            <w:pPr>
              <w:pStyle w:val="Compact"/>
              <w:jc w:val="left"/>
            </w:pPr>
            <w:r>
              <w:rPr>
                <w:bCs/>
                <w:b/>
              </w:rPr>
              <w:t xml:space="preserve">PROHIBITED</w:t>
            </w:r>
          </w:p>
        </w:tc>
        <w:tc>
          <w:tcPr/>
          <w:p>
            <w:pPr>
              <w:pStyle w:val="Compact"/>
              <w:jc w:val="left"/>
            </w:pPr>
            <w:r>
              <w:t xml:space="preserve">All tobacco products, cigarettes, cigars, and traditional smokeless tobacco prohibited at all tiers. No exceptions.</w:t>
            </w:r>
          </w:p>
        </w:tc>
      </w:tr>
      <w:tr>
        <w:tc>
          <w:tcPr/>
          <w:p>
            <w:pPr>
              <w:pStyle w:val="Compact"/>
              <w:jc w:val="left"/>
            </w:pPr>
            <w:r>
              <w:rPr>
                <w:bCs/>
                <w:b/>
              </w:rPr>
              <w:t xml:space="preserve">Electronic Cigarettes / Vaping</w:t>
            </w:r>
          </w:p>
        </w:tc>
        <w:tc>
          <w:tcPr/>
          <w:p>
            <w:pPr>
              <w:pStyle w:val="Compact"/>
              <w:jc w:val="left"/>
            </w:pPr>
            <w:r>
              <w:rPr>
                <w:bCs/>
                <w:b/>
              </w:rPr>
              <w:t xml:space="preserve">PROHIBITED</w:t>
            </w:r>
          </w:p>
        </w:tc>
        <w:tc>
          <w:tcPr/>
          <w:p>
            <w:pPr>
              <w:pStyle w:val="Compact"/>
              <w:jc w:val="left"/>
            </w:pPr>
            <w:r>
              <w:t xml:space="preserve">Prohibited at all tiers and all event types.</w:t>
            </w:r>
          </w:p>
        </w:tc>
      </w:tr>
      <w:tr>
        <w:tc>
          <w:tcPr/>
          <w:p>
            <w:pPr>
              <w:pStyle w:val="Compact"/>
              <w:jc w:val="left"/>
            </w:pPr>
            <w:r>
              <w:rPr>
                <w:bCs/>
                <w:b/>
              </w:rPr>
              <w:t xml:space="preserve">Illicit or Controlled Substances</w:t>
            </w:r>
          </w:p>
        </w:tc>
        <w:tc>
          <w:tcPr/>
          <w:p>
            <w:pPr>
              <w:pStyle w:val="Compact"/>
              <w:jc w:val="left"/>
            </w:pPr>
            <w:r>
              <w:rPr>
                <w:bCs/>
                <w:b/>
              </w:rPr>
              <w:t xml:space="preserve">PROHIBITED</w:t>
            </w:r>
          </w:p>
        </w:tc>
        <w:tc>
          <w:tcPr/>
          <w:p>
            <w:pPr>
              <w:pStyle w:val="Compact"/>
              <w:jc w:val="left"/>
            </w:pPr>
            <w:r>
              <w:t xml:space="preserve">Any product or brand associated with illegal drugs or controlled substances not legally marketed in the event jurisdiction. No exceptions.</w:t>
            </w:r>
          </w:p>
        </w:tc>
      </w:tr>
      <w:tr>
        <w:tc>
          <w:tcPr/>
          <w:p>
            <w:pPr>
              <w:pStyle w:val="Compact"/>
              <w:jc w:val="left"/>
            </w:pPr>
            <w:r>
              <w:rPr>
                <w:bCs/>
                <w:b/>
              </w:rPr>
              <w:t xml:space="preserve">Predatory Financial Products</w:t>
            </w:r>
          </w:p>
        </w:tc>
        <w:tc>
          <w:tcPr/>
          <w:p>
            <w:pPr>
              <w:pStyle w:val="Compact"/>
              <w:jc w:val="left"/>
            </w:pPr>
            <w:r>
              <w:rPr>
                <w:bCs/>
                <w:b/>
              </w:rPr>
              <w:t xml:space="preserve">PROHIBITED</w:t>
            </w:r>
          </w:p>
        </w:tc>
        <w:tc>
          <w:tcPr/>
          <w:p>
            <w:pPr>
              <w:pStyle w:val="Compact"/>
              <w:jc w:val="left"/>
            </w:pPr>
            <w:r>
              <w:t xml:space="preserve">Payday lenders, unlicensed money service businesses, and similar predatory lending products prohibited.</w:t>
            </w:r>
          </w:p>
        </w:tc>
      </w:tr>
      <w:tr>
        <w:tc>
          <w:tcPr/>
          <w:p>
            <w:pPr>
              <w:pStyle w:val="Compact"/>
              <w:jc w:val="left"/>
            </w:pPr>
            <w:r>
              <w:rPr>
                <w:bCs/>
                <w:b/>
              </w:rPr>
              <w:t xml:space="preserve">Pyramid / Multi-Level Schemes</w:t>
            </w:r>
          </w:p>
        </w:tc>
        <w:tc>
          <w:tcPr/>
          <w:p>
            <w:pPr>
              <w:pStyle w:val="Compact"/>
              <w:jc w:val="left"/>
            </w:pPr>
            <w:r>
              <w:rPr>
                <w:bCs/>
                <w:b/>
              </w:rPr>
              <w:t xml:space="preserve">PROHIBITED</w:t>
            </w:r>
          </w:p>
        </w:tc>
        <w:tc>
          <w:tcPr/>
          <w:p>
            <w:pPr>
              <w:pStyle w:val="Compact"/>
              <w:jc w:val="left"/>
            </w:pPr>
            <w:r>
              <w:t xml:space="preserve">Any entity operating an unlawful pyramid or multi-level marketing scheme as determined by relevant consumer protection authorities.</w:t>
            </w:r>
          </w:p>
        </w:tc>
      </w:tr>
      <w:tr>
        <w:tc>
          <w:tcPr/>
          <w:p>
            <w:pPr>
              <w:pStyle w:val="Compact"/>
              <w:jc w:val="left"/>
            </w:pPr>
            <w:r>
              <w:rPr>
                <w:bCs/>
                <w:b/>
              </w:rPr>
              <w:t xml:space="preserve">Sanctioned or Restricted Entities</w:t>
            </w:r>
          </w:p>
        </w:tc>
        <w:tc>
          <w:tcPr/>
          <w:p>
            <w:pPr>
              <w:pStyle w:val="Compact"/>
              <w:jc w:val="left"/>
            </w:pPr>
            <w:r>
              <w:rPr>
                <w:bCs/>
                <w:b/>
              </w:rPr>
              <w:t xml:space="preserve">PROHIBITED</w:t>
            </w:r>
          </w:p>
        </w:tc>
        <w:tc>
          <w:tcPr/>
          <w:p>
            <w:pPr>
              <w:pStyle w:val="Compact"/>
              <w:jc w:val="left"/>
            </w:pPr>
            <w:r>
              <w:t xml:space="preserve">Any entity or individual subject to applicable government sanctions (OFAC, EU, UN, etc.) or debarred from government contracting in the event jurisdiction. No exceptions.</w:t>
            </w:r>
          </w:p>
        </w:tc>
      </w:tr>
      <w:tr>
        <w:tc>
          <w:tcPr/>
          <w:p>
            <w:pPr>
              <w:pStyle w:val="Compact"/>
              <w:jc w:val="left"/>
            </w:pPr>
            <w:r>
              <w:rPr>
                <w:bCs/>
                <w:b/>
              </w:rPr>
              <w:t xml:space="preserve">Competitors of Existing Exclusives</w:t>
            </w:r>
          </w:p>
        </w:tc>
        <w:tc>
          <w:tcPr/>
          <w:p>
            <w:pPr>
              <w:pStyle w:val="Compact"/>
              <w:jc w:val="left"/>
            </w:pPr>
            <w:r>
              <w:rPr>
                <w:bCs/>
                <w:b/>
              </w:rPr>
              <w:t xml:space="preserve">PROHIBITED</w:t>
            </w:r>
          </w:p>
        </w:tc>
        <w:tc>
          <w:tcPr/>
          <w:p>
            <w:pPr>
              <w:pStyle w:val="Compact"/>
              <w:jc w:val="left"/>
            </w:pPr>
            <w:r>
              <w:t xml:space="preserve">Any brand in a product/service category for which an existing Federation Sponsor holds Category Exclusivity, for the duration of that exclusivity.</w:t>
            </w:r>
          </w:p>
        </w:tc>
      </w:tr>
    </w:tbl>
    <w:bookmarkEnd w:id="26"/>
    <w:bookmarkStart w:id="27" w:name="restricted-category-approval-process"/>
    <w:p>
      <w:pPr>
        <w:pStyle w:val="Heading2"/>
      </w:pPr>
      <w:r>
        <w:t xml:space="preserve">3.2 Restricted Category Approval Process</w:t>
      </w:r>
    </w:p>
    <w:p>
      <w:pPr>
        <w:pStyle w:val="FirstParagraph"/>
      </w:pPr>
      <w:r>
        <w:t xml:space="preserve">A Member Team or the Commissioner seeking Board approval for a Restricted Category sponsor must submit the following to the Board at least thirty (30) days before execution of any agreement:</w:t>
      </w:r>
    </w:p>
    <w:p>
      <w:pPr>
        <w:numPr>
          <w:ilvl w:val="0"/>
          <w:numId w:val="1002"/>
        </w:numPr>
      </w:pPr>
      <w:r>
        <w:t xml:space="preserve">Sponsor name, parent company, and category;</w:t>
      </w:r>
    </w:p>
    <w:p>
      <w:pPr>
        <w:numPr>
          <w:ilvl w:val="0"/>
          <w:numId w:val="1002"/>
        </w:numPr>
      </w:pPr>
      <w:r>
        <w:t xml:space="preserve">Summary of proposed commercial arrangement and event visibility;</w:t>
      </w:r>
    </w:p>
    <w:p>
      <w:pPr>
        <w:numPr>
          <w:ilvl w:val="0"/>
          <w:numId w:val="1002"/>
        </w:numPr>
      </w:pPr>
      <w:r>
        <w:t xml:space="preserve">Confirmation that the sponsor’s products are legal in all jurisdictions where the agreement will have effect;</w:t>
      </w:r>
    </w:p>
    <w:p>
      <w:pPr>
        <w:numPr>
          <w:ilvl w:val="0"/>
          <w:numId w:val="1002"/>
        </w:numPr>
      </w:pPr>
      <w:r>
        <w:t xml:space="preserve">Confirmation that no existing Federation Sponsor exclusivity is affected;</w:t>
      </w:r>
    </w:p>
    <w:p>
      <w:pPr>
        <w:numPr>
          <w:ilvl w:val="0"/>
          <w:numId w:val="1002"/>
        </w:numPr>
      </w:pPr>
      <w:r>
        <w:t xml:space="preserve">Proposed activation plan including any age-restriction or responsible messaging commitments;</w:t>
      </w:r>
    </w:p>
    <w:p>
      <w:pPr>
        <w:numPr>
          <w:ilvl w:val="0"/>
          <w:numId w:val="1002"/>
        </w:numPr>
      </w:pPr>
      <w:r>
        <w:t xml:space="preserve">Legal counsel confirmation of compliance with applicable advertising laws.</w:t>
      </w:r>
    </w:p>
    <w:p>
      <w:pPr>
        <w:pStyle w:val="FirstParagraph"/>
      </w:pPr>
      <w:r>
        <w:t xml:space="preserve">The Board may approve, approve with conditions, or deny the request. Approval of a Restricted Category sponsor for one event does not constitute standing approval for future arrangements. Each agreement requires separate Board review.</w:t>
      </w:r>
    </w:p>
    <w:bookmarkEnd w:id="27"/>
    <w:bookmarkEnd w:id="28"/>
    <w:bookmarkStart w:id="32" w:name="section-4-team-sponsor-approval"/>
    <w:p>
      <w:pPr>
        <w:pStyle w:val="Heading1"/>
      </w:pPr>
      <w:r>
        <w:t xml:space="preserve">SECTION 4 — TEAM SPONSOR APPROVAL</w:t>
      </w:r>
    </w:p>
    <w:bookmarkStart w:id="29" w:name="requirement-for-iacsf-approval"/>
    <w:p>
      <w:pPr>
        <w:pStyle w:val="Heading2"/>
      </w:pPr>
      <w:r>
        <w:t xml:space="preserve">4.1 Requirement for IACSF Approval</w:t>
      </w:r>
    </w:p>
    <w:p>
      <w:pPr>
        <w:pStyle w:val="FirstParagraph"/>
      </w:pPr>
      <w:r>
        <w:t xml:space="preserve">Member Teams must obtain IACSF approval before activating any sponsorship that will be visible at an IACSF-sanctioned event — including display on aircraft livery, uniforms, pit equipment, team vehicles, team social media associated with an IACSF event, or team event-day promotional materials. Approval is required regardless of the commercial value of the arrangement.</w:t>
      </w:r>
    </w:p>
    <w:p>
      <w:pPr>
        <w:pStyle w:val="BlockText"/>
      </w:pPr>
      <w:r>
        <w:rPr>
          <w:bCs/>
          <w:b/>
        </w:rPr>
        <w:t xml:space="preserve">WARNING.</w:t>
      </w:r>
      <w:r>
        <w:t xml:space="preserve"> </w:t>
      </w:r>
      <w:r>
        <w:t xml:space="preserve">Displaying an unapproved sponsor at an IACSF-sanctioned event constitutes a violation of the IACSF Bylaws and may result in removal of sponsor marks before competition, loss of event points, and referral to the Judicial and Disciplinary Committee.</w:t>
      </w:r>
    </w:p>
    <w:bookmarkEnd w:id="29"/>
    <w:bookmarkStart w:id="30" w:name="approval-procedure"/>
    <w:p>
      <w:pPr>
        <w:pStyle w:val="Heading2"/>
      </w:pPr>
      <w:r>
        <w:t xml:space="preserve">4.2 Approval Procedure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Submission deadline</w:t>
            </w:r>
          </w:p>
        </w:tc>
        <w:tc>
          <w:tcPr/>
          <w:p>
            <w:pPr>
              <w:pStyle w:val="Compact"/>
              <w:jc w:val="left"/>
            </w:pPr>
            <w:r>
              <w:t xml:space="preserve">No later than thirty (30) days before the first event at which the sponsor will be activated. Expedited review (10 business days) available upon payment of expedited review fee.</w:t>
            </w:r>
          </w:p>
        </w:tc>
      </w:tr>
      <w:tr>
        <w:tc>
          <w:tcPr/>
          <w:p>
            <w:pPr>
              <w:pStyle w:val="Compact"/>
              <w:jc w:val="left"/>
            </w:pPr>
            <w:r>
              <w:rPr>
                <w:bCs/>
                <w:b/>
              </w:rPr>
              <w:t xml:space="preserve">Submission content</w:t>
            </w:r>
          </w:p>
        </w:tc>
        <w:tc>
          <w:tcPr/>
          <w:p>
            <w:pPr>
              <w:pStyle w:val="Compact"/>
              <w:jc w:val="left"/>
            </w:pPr>
            <w:r>
              <w:t xml:space="preserve">Sponsor name, category, proposed activation description (including mock-up of livery or uniform placement), and confirmation the sponsor is not in a Prohibited Category.</w:t>
            </w:r>
          </w:p>
        </w:tc>
      </w:tr>
      <w:tr>
        <w:tc>
          <w:tcPr/>
          <w:p>
            <w:pPr>
              <w:pStyle w:val="Compact"/>
              <w:jc w:val="left"/>
            </w:pPr>
            <w:r>
              <w:rPr>
                <w:bCs/>
                <w:b/>
              </w:rPr>
              <w:t xml:space="preserve">Review authority</w:t>
            </w:r>
          </w:p>
        </w:tc>
        <w:tc>
          <w:tcPr/>
          <w:p>
            <w:pPr>
              <w:pStyle w:val="Compact"/>
              <w:jc w:val="left"/>
            </w:pPr>
            <w:r>
              <w:t xml:space="preserve">Commissioner reviews against this Policy. Restricted Category sponsors escalated to Board. Permitted Category sponsors approved by Commissioner within 15 business days.</w:t>
            </w:r>
          </w:p>
        </w:tc>
      </w:tr>
      <w:tr>
        <w:tc>
          <w:tcPr/>
          <w:p>
            <w:pPr>
              <w:pStyle w:val="Compact"/>
              <w:jc w:val="left"/>
            </w:pPr>
            <w:r>
              <w:rPr>
                <w:bCs/>
                <w:b/>
              </w:rPr>
              <w:t xml:space="preserve">Approval scope</w:t>
            </w:r>
          </w:p>
        </w:tc>
        <w:tc>
          <w:tcPr/>
          <w:p>
            <w:pPr>
              <w:pStyle w:val="Compact"/>
              <w:jc w:val="left"/>
            </w:pPr>
            <w:r>
              <w:t xml:space="preserve">Approval applies to the specific season unless the team’s sponsor or activation materially changes. Standing approvals may be granted for multi-year arrangements.</w:t>
            </w:r>
          </w:p>
        </w:tc>
      </w:tr>
      <w:tr>
        <w:tc>
          <w:tcPr/>
          <w:p>
            <w:pPr>
              <w:pStyle w:val="Compact"/>
              <w:jc w:val="left"/>
            </w:pPr>
            <w:r>
              <w:rPr>
                <w:bCs/>
                <w:b/>
              </w:rPr>
              <w:t xml:space="preserve">Denial</w:t>
            </w:r>
          </w:p>
        </w:tc>
        <w:tc>
          <w:tcPr/>
          <w:p>
            <w:pPr>
              <w:pStyle w:val="Compact"/>
              <w:jc w:val="left"/>
            </w:pPr>
            <w:r>
              <w:t xml:space="preserve">If denied, the team may appeal to the Board within 15 days. Board decision is final.</w:t>
            </w:r>
          </w:p>
        </w:tc>
      </w:tr>
    </w:tbl>
    <w:bookmarkEnd w:id="30"/>
    <w:bookmarkStart w:id="31" w:name="exclusivity-protection"/>
    <w:p>
      <w:pPr>
        <w:pStyle w:val="Heading2"/>
      </w:pPr>
      <w:r>
        <w:t xml:space="preserve">4.3 Exclusivity Protection</w:t>
      </w:r>
    </w:p>
    <w:p>
      <w:pPr>
        <w:pStyle w:val="FirstParagraph"/>
      </w:pPr>
      <w:r>
        <w:t xml:space="preserve">Team sponsors in a category for which a Federation Sponsor holds Category Exclusivity may not be activated at IACSF-sanctioned events in a manner that conflicts with the Federation Sponsor’s exclusivity rights. The Commissioner maintains the current exclusivity schedule and advises Member Teams on potential conflicts during the approval process. The IACSF will use reasonable efforts to structure Federation exclusivity arrangements to minimize impact on established team sponsor relationships.</w:t>
      </w:r>
    </w:p>
    <w:bookmarkEnd w:id="31"/>
    <w:bookmarkEnd w:id="32"/>
    <w:bookmarkStart w:id="35" w:name="section-5-naming-rights"/>
    <w:p>
      <w:pPr>
        <w:pStyle w:val="Heading1"/>
      </w:pPr>
      <w:r>
        <w:t xml:space="preserve">SECTION 5 — NAMING RIGHTS</w:t>
      </w:r>
    </w:p>
    <w:bookmarkStart w:id="33" w:name="federation-naming-rights"/>
    <w:p>
      <w:pPr>
        <w:pStyle w:val="Heading2"/>
      </w:pPr>
      <w:r>
        <w:t xml:space="preserve">5.1 Federation Naming Rights</w:t>
      </w:r>
    </w:p>
    <w:p>
      <w:pPr>
        <w:pStyle w:val="FirstParagraph"/>
      </w:pPr>
      <w:r>
        <w:t xml:space="preserve">The IACSF may grant naming rights to Federation sponsors for Championship events, series, and trophies, subject to the following limits:</w:t>
      </w:r>
    </w:p>
    <w:p>
      <w:pPr>
        <w:numPr>
          <w:ilvl w:val="0"/>
          <w:numId w:val="1003"/>
        </w:numPr>
      </w:pPr>
      <w:r>
        <w:t xml:space="preserve">The IACSF name and acronym may not be subsumed into a sponsor name. Sponsor naming must be additive (e.g.,</w:t>
      </w:r>
      <w:r>
        <w:t xml:space="preserve"> </w:t>
      </w:r>
      <w:r>
        <w:t xml:space="preserve">“</w:t>
      </w:r>
      <w:r>
        <w:t xml:space="preserve">[Sponsor] IACSF World Championship</w:t>
      </w:r>
      <w:r>
        <w:t xml:space="preserve">”</w:t>
      </w:r>
      <w:r>
        <w:t xml:space="preserve"> </w:t>
      </w:r>
      <w:r>
        <w:t xml:space="preserve">not</w:t>
      </w:r>
      <w:r>
        <w:t xml:space="preserve"> </w:t>
      </w:r>
      <w:r>
        <w:t xml:space="preserve">“</w:t>
      </w:r>
      <w:r>
        <w:t xml:space="preserve">[Sponsor] Championship</w:t>
      </w:r>
      <w:r>
        <w:t xml:space="preserve">”</w:t>
      </w:r>
      <w:r>
        <w:t xml:space="preserve">);</w:t>
      </w:r>
    </w:p>
    <w:p>
      <w:pPr>
        <w:numPr>
          <w:ilvl w:val="0"/>
          <w:numId w:val="1003"/>
        </w:numPr>
      </w:pPr>
      <w:r>
        <w:t xml:space="preserve">Championship designations (</w:t>
      </w:r>
      <w:r>
        <w:t xml:space="preserve">“</w:t>
      </w:r>
      <w:r>
        <w:t xml:space="preserve">World Championship,</w:t>
      </w:r>
      <w:r>
        <w:t xml:space="preserve">”</w:t>
      </w:r>
      <w:r>
        <w:t xml:space="preserve"> </w:t>
      </w:r>
      <w:r>
        <w:t xml:space="preserve">“</w:t>
      </w:r>
      <w:r>
        <w:t xml:space="preserve">Continental Championship</w:t>
      </w:r>
      <w:r>
        <w:t xml:space="preserve">”</w:t>
      </w:r>
      <w:r>
        <w:t xml:space="preserve">) must remain identifiable as IACSF events in all branded materials;</w:t>
      </w:r>
    </w:p>
    <w:p>
      <w:pPr>
        <w:numPr>
          <w:ilvl w:val="0"/>
          <w:numId w:val="1003"/>
        </w:numPr>
      </w:pPr>
      <w:r>
        <w:t xml:space="preserve">Naming rights may not be granted for a term exceeding five (5) years without Board supermajority approval;</w:t>
      </w:r>
    </w:p>
    <w:p>
      <w:pPr>
        <w:numPr>
          <w:ilvl w:val="0"/>
          <w:numId w:val="1003"/>
        </w:numPr>
      </w:pPr>
      <w:r>
        <w:t xml:space="preserve">Any naming rights arrangement must include a right of the IACSF to terminate for cause upon material breach of this Policy or the IACSF Bylaws.</w:t>
      </w:r>
    </w:p>
    <w:bookmarkEnd w:id="33"/>
    <w:bookmarkStart w:id="34" w:name="event-and-facility-naming"/>
    <w:p>
      <w:pPr>
        <w:pStyle w:val="Heading2"/>
      </w:pPr>
      <w:r>
        <w:t xml:space="preserve">5.2 Event and Facility Naming</w:t>
      </w:r>
    </w:p>
    <w:p>
      <w:pPr>
        <w:pStyle w:val="FirstParagraph"/>
      </w:pPr>
      <w:r>
        <w:t xml:space="preserve">Where event venues or facilities associated with IACSF Championships carry sponsor naming, those names may be used in IACSF promotional materials only if approved by the Board. The IACSF is not obligated to use third-party facility names in official results, records, or historical archives.</w:t>
      </w:r>
    </w:p>
    <w:bookmarkEnd w:id="34"/>
    <w:bookmarkEnd w:id="35"/>
    <w:bookmarkStart w:id="39" w:name="section-6-conflicts-of-interest"/>
    <w:p>
      <w:pPr>
        <w:pStyle w:val="Heading1"/>
      </w:pPr>
      <w:r>
        <w:t xml:space="preserve">SECTION 6 — CONFLICTS OF INTEREST</w:t>
      </w:r>
    </w:p>
    <w:bookmarkStart w:id="36" w:name="director-and-officer-conflicts"/>
    <w:p>
      <w:pPr>
        <w:pStyle w:val="Heading2"/>
      </w:pPr>
      <w:r>
        <w:t xml:space="preserve">6.1 Director and Officer Conflicts</w:t>
      </w:r>
    </w:p>
    <w:p>
      <w:pPr>
        <w:pStyle w:val="FirstParagraph"/>
      </w:pPr>
      <w:r>
        <w:t xml:space="preserve">A Director, officer, or Commissioner who has a personal financial interest in a proposed sponsorship or commercial partnership — whether through equity, employment, family connection, or existing contractual relationship — must disclose that interest to the Board in writing before any discussion or vote on the arrangement. The interested person must abstain from voting and, at the Board’s discretion, may be excluded from deliberations.</w:t>
      </w:r>
    </w:p>
    <w:p>
      <w:pPr>
        <w:pStyle w:val="BlockText"/>
      </w:pPr>
      <w:r>
        <w:rPr>
          <w:bCs/>
          <w:b/>
        </w:rPr>
        <w:t xml:space="preserve">WARNING.</w:t>
      </w:r>
      <w:r>
        <w:t xml:space="preserve"> </w:t>
      </w:r>
      <w:r>
        <w:t xml:space="preserve">Failure to disclose a conflict of interest in a commercial arrangement is a breach of fiduciary duty and will be referred to the Judicial and Disciplinary Committee.</w:t>
      </w:r>
    </w:p>
    <w:bookmarkEnd w:id="36"/>
    <w:bookmarkStart w:id="37" w:name="competitor-conflicts"/>
    <w:p>
      <w:pPr>
        <w:pStyle w:val="Heading2"/>
      </w:pPr>
      <w:r>
        <w:t xml:space="preserve">6.2 Competitor Conflicts</w:t>
      </w:r>
    </w:p>
    <w:p>
      <w:pPr>
        <w:pStyle w:val="FirstParagraph"/>
      </w:pPr>
      <w:r>
        <w:t xml:space="preserve">The IACSF will not enter into a sponsorship arrangement with an entity that is a direct commercial competitor of a significant existing Federation Sponsor without the existing sponsor’s written consent or the expiry of any applicable exclusivity period.</w:t>
      </w:r>
    </w:p>
    <w:bookmarkEnd w:id="37"/>
    <w:bookmarkStart w:id="38" w:name="integrity-of-competition"/>
    <w:p>
      <w:pPr>
        <w:pStyle w:val="Heading2"/>
      </w:pPr>
      <w:r>
        <w:t xml:space="preserve">6.3 Integrity of Competition</w:t>
      </w:r>
    </w:p>
    <w:p>
      <w:pPr>
        <w:pStyle w:val="FirstParagraph"/>
      </w:pPr>
      <w:r>
        <w:t xml:space="preserve">No sponsorship arrangement may confer upon a sponsor any influence over competition results, scheduling decisions, judging appointments, or disciplinary proceedings. Any arrangement that purports to do so is void. Any person who accepts or solicits a benefit in exchange for influencing competition outcomes will be referred to the Judicial and Disciplinary Committee.</w:t>
      </w:r>
    </w:p>
    <w:bookmarkEnd w:id="38"/>
    <w:bookmarkEnd w:id="39"/>
    <w:bookmarkStart w:id="43" w:name="section-7-disclosure-and-transparency"/>
    <w:p>
      <w:pPr>
        <w:pStyle w:val="Heading1"/>
      </w:pPr>
      <w:r>
        <w:t xml:space="preserve">SECTION 7 — DISCLOSURE AND TRANSPARENCY</w:t>
      </w:r>
    </w:p>
    <w:bookmarkStart w:id="40" w:name="public-disclosure"/>
    <w:p>
      <w:pPr>
        <w:pStyle w:val="Heading2"/>
      </w:pPr>
      <w:r>
        <w:t xml:space="preserve">7.1 Public Disclosure</w:t>
      </w:r>
    </w:p>
    <w:p>
      <w:pPr>
        <w:pStyle w:val="FirstParagraph"/>
      </w:pPr>
      <w:r>
        <w:t xml:space="preserve">The IACSF shall publish, on its official website, a current list of Federation Sponsors by tier. Category exclusivity arrangements need not be disclosed in full, but the existence of an exclusive relationship in a given category must be disclosed. The list shall be updated within thirty (30) days of any new or terminated Federation Sponsor agreement.</w:t>
      </w:r>
    </w:p>
    <w:bookmarkEnd w:id="40"/>
    <w:bookmarkStart w:id="41" w:name="annual-report"/>
    <w:p>
      <w:pPr>
        <w:pStyle w:val="Heading2"/>
      </w:pPr>
      <w:r>
        <w:t xml:space="preserve">7.2 Annual Report</w:t>
      </w:r>
    </w:p>
    <w:p>
      <w:pPr>
        <w:pStyle w:val="FirstParagraph"/>
      </w:pPr>
      <w:r>
        <w:t xml:space="preserve">The Commissioner shall include in the annual report to the Board a summary of all Federation Sponsor agreements in force, all new agreements executed during the year, any Policy exceptions granted, and any compliance issues identified. The Board shall review and acknowledge this report annually.</w:t>
      </w:r>
    </w:p>
    <w:bookmarkEnd w:id="41"/>
    <w:bookmarkStart w:id="42" w:name="team-disclosure-obligations"/>
    <w:p>
      <w:pPr>
        <w:pStyle w:val="Heading2"/>
      </w:pPr>
      <w:r>
        <w:t xml:space="preserve">7.3 Team Disclosure Obligations</w:t>
      </w:r>
    </w:p>
    <w:p>
      <w:pPr>
        <w:pStyle w:val="FirstParagraph"/>
      </w:pPr>
      <w:r>
        <w:t xml:space="preserve">Member Teams must disclose to the IACSF, upon request, a complete list of their current sponsors and the nature of each arrangement. Teams must promptly notify the Commissioner of any material change to an approved sponsorship arrangement, including changes in sponsor ownership or category.</w:t>
      </w:r>
    </w:p>
    <w:bookmarkEnd w:id="42"/>
    <w:bookmarkEnd w:id="43"/>
    <w:bookmarkStart w:id="47" w:name="section-8-enforcement"/>
    <w:p>
      <w:pPr>
        <w:pStyle w:val="Heading1"/>
      </w:pPr>
      <w:r>
        <w:t xml:space="preserve">SECTION 8 — ENFORCEMENT</w:t>
      </w:r>
    </w:p>
    <w:bookmarkStart w:id="44" w:name="federation-sponsor-violations"/>
    <w:p>
      <w:pPr>
        <w:pStyle w:val="Heading2"/>
      </w:pPr>
      <w:r>
        <w:t xml:space="preserve">8.1 Federation Sponsor Violations</w:t>
      </w:r>
    </w:p>
    <w:p>
      <w:pPr>
        <w:pStyle w:val="FirstParagraph"/>
      </w:pPr>
      <w:r>
        <w:t xml:space="preserve">Where a Federation Sponsor breaches this Policy or engages in conduct inconsistent with the IACSF’s values, the Commissioner may recommend to the Board suspension or termination of the sponsor agreement. Termination provisions, including any required notice period and associated costs, are governed by the individual sponsor agreement.</w:t>
      </w:r>
    </w:p>
    <w:bookmarkEnd w:id="44"/>
    <w:bookmarkStart w:id="45" w:name="member-team-violations"/>
    <w:p>
      <w:pPr>
        <w:pStyle w:val="Heading2"/>
      </w:pPr>
      <w:r>
        <w:t xml:space="preserve">8.2 Member Team Violations</w:t>
      </w:r>
    </w:p>
    <w:p>
      <w:pPr>
        <w:pStyle w:val="FirstParagraph"/>
      </w:pPr>
      <w:r>
        <w:t xml:space="preserve">Activation of an unapproved or Prohibited Category sponsor at an IACSF-sanctioned event may result in the following actions, applied progressively depending on severity and intent:</w:t>
      </w:r>
    </w:p>
    <w:p>
      <w:pPr>
        <w:numPr>
          <w:ilvl w:val="0"/>
          <w:numId w:val="1004"/>
        </w:numPr>
      </w:pPr>
      <w:r>
        <w:t xml:space="preserve">Written warning and required immediate removal of sponsor marks;</w:t>
      </w:r>
    </w:p>
    <w:p>
      <w:pPr>
        <w:numPr>
          <w:ilvl w:val="0"/>
          <w:numId w:val="1004"/>
        </w:numPr>
      </w:pPr>
      <w:r>
        <w:t xml:space="preserve">Loss of competition points or result adjustments for the affected event session;</w:t>
      </w:r>
    </w:p>
    <w:p>
      <w:pPr>
        <w:numPr>
          <w:ilvl w:val="0"/>
          <w:numId w:val="1004"/>
        </w:numPr>
      </w:pPr>
      <w:r>
        <w:t xml:space="preserve">Exclusion from competition for the remainder of the event;</w:t>
      </w:r>
    </w:p>
    <w:p>
      <w:pPr>
        <w:numPr>
          <w:ilvl w:val="0"/>
          <w:numId w:val="1004"/>
        </w:numPr>
      </w:pPr>
      <w:r>
        <w:t xml:space="preserve">Financial penalty per the IACSF Fee Schedule;</w:t>
      </w:r>
    </w:p>
    <w:p>
      <w:pPr>
        <w:numPr>
          <w:ilvl w:val="0"/>
          <w:numId w:val="1004"/>
        </w:numPr>
      </w:pPr>
      <w:r>
        <w:t xml:space="preserve">Referral to the Judicial and Disciplinary Committee for further sanctions, including suspension of the Member Team’s IACSF membership.</w:t>
      </w:r>
    </w:p>
    <w:bookmarkEnd w:id="45"/>
    <w:bookmarkStart w:id="46" w:name="policy-amendments"/>
    <w:p>
      <w:pPr>
        <w:pStyle w:val="Heading2"/>
      </w:pPr>
      <w:r>
        <w:t xml:space="preserve">8.3 Policy Amendments</w:t>
      </w:r>
    </w:p>
    <w:p>
      <w:pPr>
        <w:pStyle w:val="FirstParagraph"/>
      </w:pPr>
      <w:r>
        <w:t xml:space="preserve">The Board may amend this Policy at any time by resolution. Amendments to the Category Schedule (Section 3.1) require simple majority approval. Amendments to Sections 5 (Naming Rights) or 6 (Conflicts of Interest) require a supermajority vote. Amendments take effect at the start of the next competitive season unless the Board designates an immediate effective date.</w:t>
      </w:r>
    </w:p>
    <w:p>
      <w:pPr>
        <w:pStyle w:val="BodyText"/>
      </w:pPr>
      <w:r>
        <w:rPr>
          <w:bCs/>
          <w:b/>
        </w:rPr>
        <w:t xml:space="preserve">END OF DOCUMENT — IACSF-POL-005</w:t>
      </w:r>
    </w:p>
    <w:p>
      <w:pPr>
        <w:pStyle w:val="BodyText"/>
      </w:pPr>
      <w:r>
        <w:t xml:space="preserve">Sponsorship enquiries: commercial@iacsf.org | Team sponsor approvals: commissioner@iacsf.org</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Sponsorship Integrity Policy</dc:title>
  <dc:creator/>
  <cp:keywords/>
  <dcterms:created xsi:type="dcterms:W3CDTF">2026-09-15T16:41:25Z</dcterms:created>
  <dcterms:modified xsi:type="dcterms:W3CDTF">2026-09-15T16:41:25Z</dcterms:modified>
</cp:coreProperties>
</file>

<file path=docProps/custom.xml><?xml version="1.0" encoding="utf-8"?>
<Properties xmlns="http://schemas.openxmlformats.org/officeDocument/2006/custom-properties" xmlns:vt="http://schemas.openxmlformats.org/officeDocument/2006/docPropsVTypes"/>
</file>