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Confidentiality Policy</w:t>
      </w:r>
    </w:p>
    <w:p>
      <w:pPr>
        <w:pStyle w:val="FirstParagraph"/>
      </w:pPr>
      <w:r>
        <w:rPr>
          <w:bCs/>
          <w:b/>
        </w:rPr>
        <w:t xml:space="preserve">INTERNATIONAL AERIAL COMBAT SPORT FEDERATION</w:t>
      </w:r>
      <w:r>
        <w:t xml:space="preserve"> </w:t>
      </w:r>
      <w:r>
        <w:t xml:space="preserve">| Confidentiality Policy</w:t>
      </w:r>
    </w:p>
    <w:p>
      <w:pPr>
        <w:pStyle w:val="BodyText"/>
      </w:pPr>
      <w:r>
        <w:rPr>
          <w:bCs/>
          <w:b/>
        </w:rPr>
        <w:t xml:space="preserve">INTERNATIONAL AERIAL COMBAT SPORT FEDERATION</w:t>
      </w:r>
    </w:p>
    <w:p>
      <w:pPr>
        <w:pStyle w:val="BodyText"/>
      </w:pPr>
      <w:r>
        <w:rPr>
          <w:bCs/>
          <w:b/>
        </w:rPr>
        <w:t xml:space="preserve">Confidentiality Policy</w:t>
      </w:r>
    </w:p>
    <w:p>
      <w:pPr>
        <w:pStyle w:val="BodyText"/>
      </w:pPr>
      <w:r>
        <w:t xml:space="preserve">Protection of Non-Public Federation Information</w:t>
      </w:r>
    </w:p>
    <w:p>
      <w:pPr>
        <w:pStyle w:val="BodyText"/>
      </w:pPr>
      <w:r>
        <w:t xml:space="preserve">Adopted Pursuant to IACSF Bylaws, Article XXV, Section 25.3</w:t>
      </w:r>
    </w:p>
    <w:p>
      <w:pPr>
        <w:pStyle w:val="BodyText"/>
      </w:pPr>
      <w:r>
        <w:t xml:space="preserve">Effective: 2026</w:t>
      </w:r>
    </w:p>
    <w:bookmarkStart w:id="20" w:name="purpose-and-scope"/>
    <w:p>
      <w:pPr>
        <w:pStyle w:val="Heading1"/>
      </w:pPr>
      <w:r>
        <w:rPr>
          <w:bCs/>
          <w:b/>
        </w:rPr>
        <w:t xml:space="preserve">1. Purpose and Scope</w:t>
      </w:r>
    </w:p>
    <w:p>
      <w:pPr>
        <w:pStyle w:val="FirstParagraph"/>
      </w:pPr>
      <w:r>
        <w:t xml:space="preserve">This Confidentiality Policy (</w:t>
      </w:r>
      <w:r>
        <w:t xml:space="preserve">“</w:t>
      </w:r>
      <w:r>
        <w:t xml:space="preserve">Policy</w:t>
      </w:r>
      <w:r>
        <w:t xml:space="preserve">”</w:t>
      </w:r>
      <w:r>
        <w:t xml:space="preserve">) establishes the obligations of all persons who serve the International Aerial Combat Sport Federation (</w:t>
      </w:r>
      <w:r>
        <w:t xml:space="preserve">“</w:t>
      </w:r>
      <w:r>
        <w:t xml:space="preserve">IACSF</w:t>
      </w:r>
      <w:r>
        <w:t xml:space="preserve">”</w:t>
      </w:r>
      <w:r>
        <w:t xml:space="preserve"> </w:t>
      </w:r>
      <w:r>
        <w:t xml:space="preserve">or</w:t>
      </w:r>
      <w:r>
        <w:t xml:space="preserve"> </w:t>
      </w:r>
      <w:r>
        <w:t xml:space="preserve">“</w:t>
      </w:r>
      <w:r>
        <w:t xml:space="preserve">Federation</w:t>
      </w:r>
      <w:r>
        <w:t xml:space="preserve">”</w:t>
      </w:r>
      <w:r>
        <w:t xml:space="preserve">) to protect non-public information generated, received, or maintained by the Federation. The integrity of Federation operations and the trust of Member Teams, participants, and partners depend on rigorous confidentiality practices.</w:t>
      </w:r>
    </w:p>
    <w:p>
      <w:pPr>
        <w:pStyle w:val="BodyText"/>
      </w:pPr>
      <w:r>
        <w:t xml:space="preserve">This Policy applies to all members of the Board of Directors, the Commissioner, Executive Committee members, Standing Committee members, officers, employees, contractors, and any other person who has access to Confidential Information as a result of their relationship with the IACSF (</w:t>
      </w:r>
      <w:r>
        <w:t xml:space="preserve">“</w:t>
      </w:r>
      <w:r>
        <w:t xml:space="preserve">Covered Persons</w:t>
      </w:r>
      <w:r>
        <w:t xml:space="preserve">”</w:t>
      </w:r>
      <w:r>
        <w:t xml:space="preserve">). The obligations in this Policy survive the end of any Covered Person’s service or engagement with the Federation.</w:t>
      </w:r>
    </w:p>
    <w:bookmarkEnd w:id="20"/>
    <w:bookmarkStart w:id="26" w:name="confidential-information-defined"/>
    <w:p>
      <w:pPr>
        <w:pStyle w:val="Heading1"/>
      </w:pPr>
      <w:r>
        <w:rPr>
          <w:bCs/>
          <w:b/>
        </w:rPr>
        <w:t xml:space="preserve">2. Confidential Information Defined</w:t>
      </w:r>
    </w:p>
    <w:p>
      <w:pPr>
        <w:pStyle w:val="FirstParagraph"/>
      </w:pPr>
      <w:r>
        <w:t xml:space="preserve">“</w:t>
      </w:r>
      <w:r>
        <w:t xml:space="preserve">Confidential Information</w:t>
      </w:r>
      <w:r>
        <w:t xml:space="preserve">”</w:t>
      </w:r>
      <w:r>
        <w:t xml:space="preserve"> </w:t>
      </w:r>
      <w:r>
        <w:t xml:space="preserve">means any non-public information relating to the IACSF or its activities, including but not limited to:</w:t>
      </w:r>
    </w:p>
    <w:bookmarkStart w:id="21" w:name="governance-and-deliberations"/>
    <w:p>
      <w:pPr>
        <w:pStyle w:val="Heading2"/>
      </w:pPr>
      <w:r>
        <w:rPr>
          <w:bCs/>
          <w:b/>
        </w:rPr>
        <w:t xml:space="preserve">2.1 Governance and Deliberations</w:t>
      </w:r>
    </w:p>
    <w:p>
      <w:pPr>
        <w:numPr>
          <w:ilvl w:val="0"/>
          <w:numId w:val="1001"/>
        </w:numPr>
      </w:pPr>
      <w:r>
        <w:t xml:space="preserve">Board of Directors meeting discussions, deliberations, and voting records not reflected in adopted public minutes;</w:t>
      </w:r>
    </w:p>
    <w:p>
      <w:pPr>
        <w:numPr>
          <w:ilvl w:val="0"/>
          <w:numId w:val="1001"/>
        </w:numPr>
      </w:pPr>
      <w:r>
        <w:t xml:space="preserve">Executive Committee and Standing Committee proceedings;</w:t>
      </w:r>
    </w:p>
    <w:p>
      <w:pPr>
        <w:numPr>
          <w:ilvl w:val="0"/>
          <w:numId w:val="1001"/>
        </w:numPr>
      </w:pPr>
      <w:r>
        <w:t xml:space="preserve">Legal advice and attorney-client communications;</w:t>
      </w:r>
    </w:p>
    <w:p>
      <w:pPr>
        <w:numPr>
          <w:ilvl w:val="0"/>
          <w:numId w:val="1001"/>
        </w:numPr>
      </w:pPr>
      <w:r>
        <w:t xml:space="preserve">Pending or contemplated rule changes, enforcement actions, or governance decisions not yet publicly announced.</w:t>
      </w:r>
    </w:p>
    <w:bookmarkEnd w:id="21"/>
    <w:bookmarkStart w:id="22" w:name="disciplinary-and-legal-matters"/>
    <w:p>
      <w:pPr>
        <w:pStyle w:val="Heading2"/>
      </w:pPr>
      <w:r>
        <w:rPr>
          <w:bCs/>
          <w:b/>
        </w:rPr>
        <w:t xml:space="preserve">2.2 Disciplinary and Legal Matters</w:t>
      </w:r>
    </w:p>
    <w:p>
      <w:pPr>
        <w:numPr>
          <w:ilvl w:val="0"/>
          <w:numId w:val="1002"/>
        </w:numPr>
      </w:pPr>
      <w:r>
        <w:t xml:space="preserve">All information relating to disciplinary investigations, hearings, and proceedings, including the identity of complainants, respondents, witnesses, and the substance of any charges, findings, or sanctions;</w:t>
      </w:r>
    </w:p>
    <w:p>
      <w:pPr>
        <w:numPr>
          <w:ilvl w:val="0"/>
          <w:numId w:val="1002"/>
        </w:numPr>
      </w:pPr>
      <w:r>
        <w:t xml:space="preserve">Settlement agreements, consent orders, and related communications;</w:t>
      </w:r>
    </w:p>
    <w:p>
      <w:pPr>
        <w:numPr>
          <w:ilvl w:val="0"/>
          <w:numId w:val="1002"/>
        </w:numPr>
      </w:pPr>
      <w:r>
        <w:t xml:space="preserve">Pending or threatened litigation, arbitration, or regulatory proceedings.</w:t>
      </w:r>
    </w:p>
    <w:bookmarkEnd w:id="22"/>
    <w:bookmarkStart w:id="23" w:name="financial-information"/>
    <w:p>
      <w:pPr>
        <w:pStyle w:val="Heading2"/>
      </w:pPr>
      <w:r>
        <w:rPr>
          <w:bCs/>
          <w:b/>
        </w:rPr>
        <w:t xml:space="preserve">2.3 Financial Information</w:t>
      </w:r>
    </w:p>
    <w:p>
      <w:pPr>
        <w:numPr>
          <w:ilvl w:val="0"/>
          <w:numId w:val="1003"/>
        </w:numPr>
      </w:pPr>
      <w:r>
        <w:t xml:space="preserve">Federation budgets, financial statements, and accounting records not yet publicly released;</w:t>
      </w:r>
    </w:p>
    <w:p>
      <w:pPr>
        <w:numPr>
          <w:ilvl w:val="0"/>
          <w:numId w:val="1003"/>
        </w:numPr>
      </w:pPr>
      <w:r>
        <w:t xml:space="preserve">Revenue-sharing arrangements and financial terms of agreements with Member Teams;</w:t>
      </w:r>
    </w:p>
    <w:p>
      <w:pPr>
        <w:numPr>
          <w:ilvl w:val="0"/>
          <w:numId w:val="1003"/>
        </w:numPr>
      </w:pPr>
      <w:r>
        <w:t xml:space="preserve">Broadcast, sponsorship, and commercial deal terms;</w:t>
      </w:r>
    </w:p>
    <w:p>
      <w:pPr>
        <w:numPr>
          <w:ilvl w:val="0"/>
          <w:numId w:val="1003"/>
        </w:numPr>
      </w:pPr>
      <w:r>
        <w:t xml:space="preserve">Banking, investment, and insurance information.</w:t>
      </w:r>
    </w:p>
    <w:bookmarkEnd w:id="23"/>
    <w:bookmarkStart w:id="24" w:name="commercial-and-competitive-information"/>
    <w:p>
      <w:pPr>
        <w:pStyle w:val="Heading2"/>
      </w:pPr>
      <w:r>
        <w:rPr>
          <w:bCs/>
          <w:b/>
        </w:rPr>
        <w:t xml:space="preserve">2.4 Commercial and Competitive Information</w:t>
      </w:r>
    </w:p>
    <w:p>
      <w:pPr>
        <w:numPr>
          <w:ilvl w:val="0"/>
          <w:numId w:val="1004"/>
        </w:numPr>
      </w:pPr>
      <w:r>
        <w:t xml:space="preserve">Business plans, strategic plans, and expansion strategies;</w:t>
      </w:r>
    </w:p>
    <w:p>
      <w:pPr>
        <w:numPr>
          <w:ilvl w:val="0"/>
          <w:numId w:val="1004"/>
        </w:numPr>
      </w:pPr>
      <w:r>
        <w:t xml:space="preserve">Proposed or pending commercial agreements, negotiations, and term sheets;</w:t>
      </w:r>
    </w:p>
    <w:p>
      <w:pPr>
        <w:numPr>
          <w:ilvl w:val="0"/>
          <w:numId w:val="1004"/>
        </w:numPr>
      </w:pPr>
      <w:r>
        <w:t xml:space="preserve">Intellectual property in development;</w:t>
      </w:r>
    </w:p>
    <w:p>
      <w:pPr>
        <w:numPr>
          <w:ilvl w:val="0"/>
          <w:numId w:val="1004"/>
        </w:numPr>
      </w:pPr>
      <w:r>
        <w:t xml:space="preserve">Proprietary technical standards and competition formats under development.</w:t>
      </w:r>
    </w:p>
    <w:bookmarkEnd w:id="24"/>
    <w:bookmarkStart w:id="25" w:name="personal-information"/>
    <w:p>
      <w:pPr>
        <w:pStyle w:val="Heading2"/>
      </w:pPr>
      <w:r>
        <w:rPr>
          <w:bCs/>
          <w:b/>
        </w:rPr>
        <w:t xml:space="preserve">2.5 Personal Information</w:t>
      </w:r>
    </w:p>
    <w:p>
      <w:pPr>
        <w:numPr>
          <w:ilvl w:val="0"/>
          <w:numId w:val="1005"/>
        </w:numPr>
      </w:pPr>
      <w:r>
        <w:t xml:space="preserve">Personal data of participants, officials, employees, and contractors, including health and medical information, financial information, and contact details;</w:t>
      </w:r>
    </w:p>
    <w:p>
      <w:pPr>
        <w:numPr>
          <w:ilvl w:val="0"/>
          <w:numId w:val="1005"/>
        </w:numPr>
      </w:pPr>
      <w:r>
        <w:t xml:space="preserve">Information disclosed by individuals through the Whistleblower Protection process.</w:t>
      </w:r>
    </w:p>
    <w:bookmarkEnd w:id="25"/>
    <w:bookmarkEnd w:id="26"/>
    <w:bookmarkStart w:id="31" w:name="obligations-of-covered-persons"/>
    <w:p>
      <w:pPr>
        <w:pStyle w:val="Heading1"/>
      </w:pPr>
      <w:r>
        <w:rPr>
          <w:bCs/>
          <w:b/>
        </w:rPr>
        <w:t xml:space="preserve">3. Obligations of Covered Persons</w:t>
      </w:r>
    </w:p>
    <w:bookmarkStart w:id="27" w:name="non-disclosure"/>
    <w:p>
      <w:pPr>
        <w:pStyle w:val="Heading2"/>
      </w:pPr>
      <w:r>
        <w:rPr>
          <w:bCs/>
          <w:b/>
        </w:rPr>
        <w:t xml:space="preserve">3.1 Non-Disclosure</w:t>
      </w:r>
    </w:p>
    <w:p>
      <w:pPr>
        <w:pStyle w:val="FirstParagraph"/>
      </w:pPr>
      <w:r>
        <w:t xml:space="preserve">Covered Persons shall not disclose Confidential Information to any person outside the IACSF except as expressly permitted by this Policy or as required by applicable law. This prohibition applies to disclosure through any medium, including verbal communication, written documents, electronic messages, and social media.</w:t>
      </w:r>
    </w:p>
    <w:bookmarkEnd w:id="27"/>
    <w:bookmarkStart w:id="28" w:name="need-to-know-principle"/>
    <w:p>
      <w:pPr>
        <w:pStyle w:val="Heading2"/>
      </w:pPr>
      <w:r>
        <w:rPr>
          <w:bCs/>
          <w:b/>
        </w:rPr>
        <w:t xml:space="preserve">3.2 Need-to-Know Principle</w:t>
      </w:r>
    </w:p>
    <w:p>
      <w:pPr>
        <w:pStyle w:val="FirstParagraph"/>
      </w:pPr>
      <w:r>
        <w:t xml:space="preserve">Covered Persons shall access and use Confidential Information only to the extent necessary for the legitimate performance of their Federation duties. Confidential Information shall not be shared with other Covered Persons beyond those who have a legitimate need to know for Federation purposes.</w:t>
      </w:r>
    </w:p>
    <w:bookmarkEnd w:id="28"/>
    <w:bookmarkStart w:id="29" w:name="safeguarding"/>
    <w:p>
      <w:pPr>
        <w:pStyle w:val="Heading2"/>
      </w:pPr>
      <w:r>
        <w:rPr>
          <w:bCs/>
          <w:b/>
        </w:rPr>
        <w:t xml:space="preserve">3.3 Safeguarding</w:t>
      </w:r>
    </w:p>
    <w:p>
      <w:pPr>
        <w:pStyle w:val="FirstParagraph"/>
      </w:pPr>
      <w:r>
        <w:t xml:space="preserve">Covered Persons shall take reasonable precautions to protect Confidential Information from unauthorized access, disclosure, or loss, including:</w:t>
      </w:r>
    </w:p>
    <w:p>
      <w:pPr>
        <w:numPr>
          <w:ilvl w:val="0"/>
          <w:numId w:val="1006"/>
        </w:numPr>
      </w:pPr>
      <w:r>
        <w:t xml:space="preserve">Storing physical documents securely and disposing of them by shredding or equivalent secure means;</w:t>
      </w:r>
    </w:p>
    <w:p>
      <w:pPr>
        <w:numPr>
          <w:ilvl w:val="0"/>
          <w:numId w:val="1006"/>
        </w:numPr>
      </w:pPr>
      <w:r>
        <w:t xml:space="preserve">Using password protection and encryption for electronic files containing Confidential Information;</w:t>
      </w:r>
    </w:p>
    <w:p>
      <w:pPr>
        <w:numPr>
          <w:ilvl w:val="0"/>
          <w:numId w:val="1006"/>
        </w:numPr>
      </w:pPr>
      <w:r>
        <w:t xml:space="preserve">Not accessing Confidential Information on unsecured or public networks;</w:t>
      </w:r>
    </w:p>
    <w:p>
      <w:pPr>
        <w:numPr>
          <w:ilvl w:val="0"/>
          <w:numId w:val="1006"/>
        </w:numPr>
      </w:pPr>
      <w:r>
        <w:t xml:space="preserve">Not leaving Confidential Information visible or accessible to unauthorized persons.</w:t>
      </w:r>
    </w:p>
    <w:bookmarkEnd w:id="29"/>
    <w:bookmarkStart w:id="30" w:name="survival-of-obligation"/>
    <w:p>
      <w:pPr>
        <w:pStyle w:val="Heading2"/>
      </w:pPr>
      <w:r>
        <w:rPr>
          <w:bCs/>
          <w:b/>
        </w:rPr>
        <w:t xml:space="preserve">3.4 Survival of Obligation</w:t>
      </w:r>
    </w:p>
    <w:p>
      <w:pPr>
        <w:pStyle w:val="FirstParagraph"/>
      </w:pPr>
      <w:r>
        <w:t xml:space="preserve">The obligations of this Policy survive the end of a Covered Person’s service, employment, or engagement with the Federation for as long as the information remains non-public and continues to have commercial or legal significance, and in any event for a minimum of five (5) years from the end of service.</w:t>
      </w:r>
    </w:p>
    <w:bookmarkEnd w:id="30"/>
    <w:bookmarkEnd w:id="31"/>
    <w:bookmarkStart w:id="32" w:name="permitted-disclosures"/>
    <w:p>
      <w:pPr>
        <w:pStyle w:val="Heading1"/>
      </w:pPr>
      <w:r>
        <w:rPr>
          <w:bCs/>
          <w:b/>
        </w:rPr>
        <w:t xml:space="preserve">4. Permitted Disclosures</w:t>
      </w:r>
    </w:p>
    <w:p>
      <w:pPr>
        <w:pStyle w:val="FirstParagraph"/>
      </w:pPr>
      <w:r>
        <w:t xml:space="preserve">Confidential Information may be disclosed in the following circumstances:</w:t>
      </w:r>
    </w:p>
    <w:p>
      <w:pPr>
        <w:numPr>
          <w:ilvl w:val="0"/>
          <w:numId w:val="1007"/>
        </w:numPr>
      </w:pPr>
      <w:r>
        <w:t xml:space="preserve">With the prior written authorization of the Board of Directors or Commissioner, as appropriate;</w:t>
      </w:r>
    </w:p>
    <w:p>
      <w:pPr>
        <w:numPr>
          <w:ilvl w:val="0"/>
          <w:numId w:val="1007"/>
        </w:numPr>
      </w:pPr>
      <w:r>
        <w:t xml:space="preserve">To legal counsel, auditors, or other professional advisors engaged by the Federation, subject to appropriate confidentiality obligations;</w:t>
      </w:r>
    </w:p>
    <w:p>
      <w:pPr>
        <w:numPr>
          <w:ilvl w:val="0"/>
          <w:numId w:val="1007"/>
        </w:numPr>
      </w:pPr>
      <w:r>
        <w:t xml:space="preserve">As required by applicable law, court order, or regulatory requirement, provided that (where legally permissible) the Covered Person gives prompt written notice to the Commissioner or Board Chair before making such disclosure so that the Federation may seek a protective order or other appropriate relief;</w:t>
      </w:r>
    </w:p>
    <w:p>
      <w:pPr>
        <w:numPr>
          <w:ilvl w:val="0"/>
          <w:numId w:val="1007"/>
        </w:numPr>
      </w:pPr>
      <w:r>
        <w:t xml:space="preserve">In connection with any proceeding to enforce this Policy or the Covered Person’s obligations to the Federation;</w:t>
      </w:r>
    </w:p>
    <w:p>
      <w:pPr>
        <w:numPr>
          <w:ilvl w:val="0"/>
          <w:numId w:val="1007"/>
        </w:numPr>
      </w:pPr>
      <w:r>
        <w:t xml:space="preserve">Where the information has become publicly available through means other than a breach of this Policy.</w:t>
      </w:r>
    </w:p>
    <w:bookmarkEnd w:id="32"/>
    <w:bookmarkStart w:id="33" w:name="return-of-federation-materials"/>
    <w:p>
      <w:pPr>
        <w:pStyle w:val="Heading1"/>
      </w:pPr>
      <w:r>
        <w:rPr>
          <w:bCs/>
          <w:b/>
        </w:rPr>
        <w:t xml:space="preserve">5. Return of Federation Materials</w:t>
      </w:r>
    </w:p>
    <w:p>
      <w:pPr>
        <w:pStyle w:val="FirstParagraph"/>
      </w:pPr>
      <w:r>
        <w:t xml:space="preserve">Upon the end of service, employment, or engagement — and at any time upon request by the Federation — a Covered Person shall promptly return or destroy all materials containing Confidential Information, including physical documents, electronic files, and any copies or excerpts thereof, in a format specified by the Commissioner. The Covered Person shall certify in writing that all such materials have been returned or destroyed.</w:t>
      </w:r>
    </w:p>
    <w:bookmarkEnd w:id="33"/>
    <w:bookmarkStart w:id="34" w:name="unauthorized-disclosure-and-breach"/>
    <w:p>
      <w:pPr>
        <w:pStyle w:val="Heading1"/>
      </w:pPr>
      <w:r>
        <w:rPr>
          <w:bCs/>
          <w:b/>
        </w:rPr>
        <w:t xml:space="preserve">6. Unauthorized Disclosure and Breach</w:t>
      </w:r>
    </w:p>
    <w:p>
      <w:pPr>
        <w:pStyle w:val="FirstParagraph"/>
      </w:pPr>
      <w:r>
        <w:t xml:space="preserve">Any Covered Person who becomes aware of an actual or suspected unauthorized disclosure of Confidential Information shall immediately notify the Commissioner in writing. The Commissioner shall promptly investigate the matter and take appropriate remedial action.</w:t>
      </w:r>
    </w:p>
    <w:p>
      <w:pPr>
        <w:pStyle w:val="BodyText"/>
      </w:pPr>
      <w:r>
        <w:t xml:space="preserve">Unauthorized disclosure of Confidential Information constitutes a material breach of the Covered Person’s obligations to the Federation and may result in:</w:t>
      </w:r>
    </w:p>
    <w:p>
      <w:pPr>
        <w:numPr>
          <w:ilvl w:val="0"/>
          <w:numId w:val="1008"/>
        </w:numPr>
      </w:pPr>
      <w:r>
        <w:t xml:space="preserve">Disciplinary action under the IACSF Code of Ethics and Bylaws Article XX, up to and including removal from office, termination of employment or contract, and expulsion of a Member Team;</w:t>
      </w:r>
    </w:p>
    <w:p>
      <w:pPr>
        <w:numPr>
          <w:ilvl w:val="0"/>
          <w:numId w:val="1008"/>
        </w:numPr>
      </w:pPr>
      <w:r>
        <w:t xml:space="preserve">Civil legal action by the Federation to recover damages and obtain injunctive relief;</w:t>
      </w:r>
    </w:p>
    <w:p>
      <w:pPr>
        <w:numPr>
          <w:ilvl w:val="0"/>
          <w:numId w:val="1008"/>
        </w:numPr>
      </w:pPr>
      <w:r>
        <w:t xml:space="preserve">Referral to law enforcement or regulatory authorities where the disclosure constitutes a violation of applicable law.</w:t>
      </w:r>
    </w:p>
    <w:bookmarkEnd w:id="34"/>
    <w:bookmarkStart w:id="35" w:name="confidential-information-in-proceedings"/>
    <w:p>
      <w:pPr>
        <w:pStyle w:val="Heading1"/>
      </w:pPr>
      <w:r>
        <w:rPr>
          <w:bCs/>
          <w:b/>
        </w:rPr>
        <w:t xml:space="preserve">7. Confidential Information in Proceedings</w:t>
      </w:r>
    </w:p>
    <w:p>
      <w:pPr>
        <w:pStyle w:val="FirstParagraph"/>
      </w:pPr>
      <w:r>
        <w:t xml:space="preserve">All information disclosed during IACSF disciplinary, judicial, or investigative proceedings is strictly confidential. Covered Persons involved in such proceedings — whether as decision-makers, witnesses, counsel, or support staff — shall not disclose any aspect of the proceedings, including the identity of parties, the nature of allegations, evidence presented, or the outcome, except as required by this Policy or the Bylaws.</w:t>
      </w:r>
    </w:p>
    <w:bookmarkEnd w:id="35"/>
    <w:bookmarkStart w:id="36" w:name="acknowledgment"/>
    <w:p>
      <w:pPr>
        <w:pStyle w:val="Heading1"/>
      </w:pPr>
      <w:r>
        <w:rPr>
          <w:bCs/>
          <w:b/>
        </w:rPr>
        <w:t xml:space="preserve">8. Acknowledgment</w:t>
      </w:r>
    </w:p>
    <w:p>
      <w:pPr>
        <w:pStyle w:val="FirstParagraph"/>
      </w:pPr>
      <w:r>
        <w:t xml:space="preserve">Each Covered Person shall execute a written confidentiality acknowledgment upon commencement of their role and annually thereafter. The acknowledgment shall confirm that the Covered Person has read, understood, and agrees to be bound by this Policy. Executed acknowledgments shall be maintained by the Secretary-General.</w:t>
      </w:r>
    </w:p>
    <w:bookmarkEnd w:id="36"/>
    <w:bookmarkStart w:id="37" w:name="review-and-amendment"/>
    <w:p>
      <w:pPr>
        <w:pStyle w:val="Heading1"/>
      </w:pPr>
      <w:r>
        <w:rPr>
          <w:bCs/>
          <w:b/>
        </w:rPr>
        <w:t xml:space="preserve">9. Review and Amendment</w:t>
      </w:r>
    </w:p>
    <w:p>
      <w:pPr>
        <w:pStyle w:val="FirstParagraph"/>
      </w:pPr>
      <w:r>
        <w:t xml:space="preserve">This Policy shall be reviewed at least every two (2) years by the Board of Directors and amended as necessary to address changes in law, technology, or Federation operations. Amendments shall be approved by majority vote of the Board.</w:t>
      </w:r>
    </w:p>
    <w:p>
      <w:pPr>
        <w:pStyle w:val="BodyText"/>
      </w:pPr>
      <w:r>
        <w:rPr>
          <w:iCs/>
          <w:i/>
        </w:rPr>
        <w:t xml:space="preserve">Adopted by the Board of Directors of the International Aerial Combat Sport Federation, 2026.</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Confidentiality Policy</dc:title>
  <dc:creator/>
  <cp:keywords/>
  <dcterms:created xsi:type="dcterms:W3CDTF">2026-09-15T16:41:25Z</dcterms:created>
  <dcterms:modified xsi:type="dcterms:W3CDTF">2026-09-15T16:41:25Z</dcterms:modified>
</cp:coreProperties>
</file>

<file path=docProps/custom.xml><?xml version="1.0" encoding="utf-8"?>
<Properties xmlns="http://schemas.openxmlformats.org/officeDocument/2006/custom-properties" xmlns:vt="http://schemas.openxmlformats.org/officeDocument/2006/docPropsVTypes"/>
</file>